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82B" w:rsidRDefault="00CE577D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COMUNICATO STAMPA</w:t>
      </w:r>
    </w:p>
    <w:p w:rsidR="007B682B" w:rsidRPr="006603AC" w:rsidRDefault="00CE577D">
      <w:pPr>
        <w:spacing w:after="0"/>
        <w:jc w:val="center"/>
        <w:rPr>
          <w:b/>
          <w:bCs/>
          <w:color w:val="auto"/>
          <w:sz w:val="32"/>
          <w:szCs w:val="32"/>
        </w:rPr>
      </w:pPr>
      <w:r w:rsidRPr="006603AC">
        <w:rPr>
          <w:b/>
          <w:bCs/>
          <w:color w:val="auto"/>
          <w:sz w:val="32"/>
          <w:szCs w:val="32"/>
        </w:rPr>
        <w:t>CORONAVIRUS</w:t>
      </w:r>
      <w:r w:rsidR="00485811" w:rsidRPr="006603AC">
        <w:rPr>
          <w:b/>
          <w:bCs/>
          <w:color w:val="auto"/>
          <w:sz w:val="32"/>
          <w:szCs w:val="32"/>
        </w:rPr>
        <w:t>:</w:t>
      </w:r>
      <w:r w:rsidR="00420736" w:rsidRPr="006603AC">
        <w:rPr>
          <w:b/>
          <w:bCs/>
          <w:color w:val="auto"/>
          <w:sz w:val="32"/>
          <w:szCs w:val="32"/>
        </w:rPr>
        <w:t xml:space="preserve"> </w:t>
      </w:r>
      <w:r w:rsidR="00971D6F">
        <w:rPr>
          <w:b/>
          <w:bCs/>
          <w:color w:val="auto"/>
          <w:sz w:val="32"/>
          <w:szCs w:val="32"/>
        </w:rPr>
        <w:t xml:space="preserve">CONTAGI STABILI, </w:t>
      </w:r>
      <w:r w:rsidR="00777916" w:rsidRPr="006603AC">
        <w:rPr>
          <w:b/>
          <w:bCs/>
          <w:color w:val="auto"/>
          <w:sz w:val="32"/>
          <w:szCs w:val="32"/>
        </w:rPr>
        <w:t>FRENANO LE OSPEDALIZZAZIONI</w:t>
      </w:r>
      <w:r w:rsidR="004041F5">
        <w:rPr>
          <w:b/>
          <w:bCs/>
          <w:color w:val="auto"/>
          <w:sz w:val="32"/>
          <w:szCs w:val="32"/>
        </w:rPr>
        <w:t>.</w:t>
      </w:r>
    </w:p>
    <w:p w:rsidR="00777916" w:rsidRPr="00777916" w:rsidRDefault="00777916" w:rsidP="00777916">
      <w:pPr>
        <w:spacing w:after="0" w:line="276" w:lineRule="auto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VACCINI: </w:t>
      </w:r>
      <w:r w:rsidR="002D66EF">
        <w:rPr>
          <w:b/>
          <w:bCs/>
          <w:color w:val="auto"/>
          <w:sz w:val="32"/>
          <w:szCs w:val="32"/>
        </w:rPr>
        <w:t>CON</w:t>
      </w:r>
      <w:r w:rsidR="00391BD8">
        <w:rPr>
          <w:b/>
          <w:bCs/>
          <w:color w:val="auto"/>
          <w:sz w:val="32"/>
          <w:szCs w:val="32"/>
        </w:rPr>
        <w:t xml:space="preserve"> QUASI </w:t>
      </w:r>
      <w:r w:rsidR="00391BD8" w:rsidRPr="00777916">
        <w:rPr>
          <w:b/>
          <w:bCs/>
          <w:color w:val="auto"/>
          <w:sz w:val="32"/>
          <w:szCs w:val="32"/>
        </w:rPr>
        <w:t xml:space="preserve">8 </w:t>
      </w:r>
      <w:r w:rsidR="00391BD8">
        <w:rPr>
          <w:b/>
          <w:bCs/>
          <w:color w:val="auto"/>
          <w:sz w:val="32"/>
          <w:szCs w:val="32"/>
        </w:rPr>
        <w:t>MILIONI DI</w:t>
      </w:r>
      <w:r w:rsidR="00391BD8" w:rsidRPr="00777916">
        <w:rPr>
          <w:b/>
          <w:bCs/>
          <w:color w:val="auto"/>
          <w:sz w:val="32"/>
          <w:szCs w:val="32"/>
        </w:rPr>
        <w:t xml:space="preserve"> </w:t>
      </w:r>
      <w:r w:rsidR="00391BD8">
        <w:rPr>
          <w:b/>
          <w:bCs/>
          <w:color w:val="auto"/>
          <w:sz w:val="32"/>
          <w:szCs w:val="32"/>
        </w:rPr>
        <w:t xml:space="preserve">DOSI IN FRIGO </w:t>
      </w:r>
      <w:r w:rsidR="004041F5">
        <w:rPr>
          <w:b/>
          <w:bCs/>
          <w:color w:val="auto"/>
          <w:sz w:val="32"/>
          <w:szCs w:val="32"/>
        </w:rPr>
        <w:t xml:space="preserve">ANCORA </w:t>
      </w:r>
      <w:r w:rsidR="00391BD8">
        <w:rPr>
          <w:b/>
          <w:bCs/>
          <w:color w:val="auto"/>
          <w:sz w:val="32"/>
          <w:szCs w:val="32"/>
        </w:rPr>
        <w:t xml:space="preserve">3,34 MILIONI DI </w:t>
      </w:r>
      <w:r w:rsidRPr="00777916">
        <w:rPr>
          <w:b/>
          <w:bCs/>
          <w:color w:val="auto"/>
          <w:sz w:val="32"/>
          <w:szCs w:val="32"/>
        </w:rPr>
        <w:t xml:space="preserve">OVER 50 </w:t>
      </w:r>
      <w:r w:rsidR="00F75BEE">
        <w:rPr>
          <w:b/>
          <w:bCs/>
          <w:color w:val="auto"/>
          <w:sz w:val="32"/>
          <w:szCs w:val="32"/>
        </w:rPr>
        <w:t>SENZA COPERTURA</w:t>
      </w:r>
      <w:r w:rsidR="004041F5">
        <w:rPr>
          <w:b/>
          <w:bCs/>
          <w:color w:val="auto"/>
          <w:sz w:val="32"/>
          <w:szCs w:val="32"/>
        </w:rPr>
        <w:t>.</w:t>
      </w:r>
      <w:r w:rsidR="00391BD8">
        <w:rPr>
          <w:b/>
          <w:bCs/>
          <w:color w:val="auto"/>
          <w:sz w:val="32"/>
          <w:szCs w:val="32"/>
        </w:rPr>
        <w:t xml:space="preserve"> </w:t>
      </w:r>
    </w:p>
    <w:p w:rsidR="00777916" w:rsidRPr="00777916" w:rsidRDefault="009A3BFF" w:rsidP="00777916">
      <w:pPr>
        <w:spacing w:after="0" w:line="276" w:lineRule="auto"/>
        <w:jc w:val="center"/>
        <w:rPr>
          <w:b/>
          <w:bCs/>
          <w:color w:val="auto"/>
          <w:sz w:val="32"/>
          <w:szCs w:val="32"/>
        </w:rPr>
      </w:pPr>
      <w:r w:rsidRPr="009A3BFF">
        <w:rPr>
          <w:b/>
          <w:bCs/>
          <w:color w:val="auto"/>
          <w:sz w:val="32"/>
          <w:szCs w:val="32"/>
        </w:rPr>
        <w:t>EFFICACIA VACCIN</w:t>
      </w:r>
      <w:r w:rsidR="004041F5">
        <w:rPr>
          <w:b/>
          <w:bCs/>
          <w:color w:val="auto"/>
          <w:sz w:val="32"/>
          <w:szCs w:val="32"/>
        </w:rPr>
        <w:t>ALE</w:t>
      </w:r>
      <w:r w:rsidR="00E54306">
        <w:rPr>
          <w:b/>
          <w:bCs/>
          <w:color w:val="auto"/>
          <w:sz w:val="32"/>
          <w:szCs w:val="32"/>
        </w:rPr>
        <w:t xml:space="preserve"> </w:t>
      </w:r>
      <w:r w:rsidR="00672C34">
        <w:rPr>
          <w:b/>
          <w:bCs/>
          <w:color w:val="auto"/>
          <w:sz w:val="32"/>
          <w:szCs w:val="32"/>
        </w:rPr>
        <w:t xml:space="preserve">STABILE </w:t>
      </w:r>
      <w:r w:rsidR="0094638F">
        <w:rPr>
          <w:b/>
          <w:bCs/>
          <w:color w:val="auto"/>
          <w:sz w:val="32"/>
          <w:szCs w:val="32"/>
        </w:rPr>
        <w:t>SOPRA IL</w:t>
      </w:r>
      <w:r w:rsidR="0094638F" w:rsidRPr="009A3BFF">
        <w:rPr>
          <w:b/>
          <w:bCs/>
          <w:color w:val="auto"/>
          <w:sz w:val="32"/>
          <w:szCs w:val="32"/>
        </w:rPr>
        <w:t xml:space="preserve"> </w:t>
      </w:r>
      <w:r w:rsidR="002D66EF" w:rsidRPr="009A3BFF">
        <w:rPr>
          <w:b/>
          <w:bCs/>
          <w:color w:val="auto"/>
          <w:sz w:val="32"/>
          <w:szCs w:val="32"/>
        </w:rPr>
        <w:t>9</w:t>
      </w:r>
      <w:r w:rsidR="002D66EF">
        <w:rPr>
          <w:b/>
          <w:bCs/>
          <w:color w:val="auto"/>
          <w:sz w:val="32"/>
          <w:szCs w:val="32"/>
        </w:rPr>
        <w:t>4</w:t>
      </w:r>
      <w:r w:rsidRPr="009A3BFF">
        <w:rPr>
          <w:b/>
          <w:bCs/>
          <w:color w:val="auto"/>
          <w:sz w:val="32"/>
          <w:szCs w:val="32"/>
        </w:rPr>
        <w:t xml:space="preserve">% </w:t>
      </w:r>
      <w:r w:rsidR="00C33661">
        <w:rPr>
          <w:b/>
          <w:bCs/>
          <w:color w:val="auto"/>
          <w:sz w:val="32"/>
          <w:szCs w:val="32"/>
        </w:rPr>
        <w:t xml:space="preserve">PER </w:t>
      </w:r>
      <w:r w:rsidRPr="009A3BFF">
        <w:rPr>
          <w:b/>
          <w:bCs/>
          <w:color w:val="auto"/>
          <w:sz w:val="32"/>
          <w:szCs w:val="32"/>
        </w:rPr>
        <w:t>FORME GRAVI</w:t>
      </w:r>
      <w:r w:rsidR="00672C34">
        <w:rPr>
          <w:b/>
          <w:bCs/>
          <w:color w:val="auto"/>
          <w:sz w:val="32"/>
          <w:szCs w:val="32"/>
        </w:rPr>
        <w:t xml:space="preserve"> E DECESSI</w:t>
      </w:r>
      <w:r w:rsidR="00391BD8">
        <w:rPr>
          <w:b/>
          <w:bCs/>
          <w:color w:val="auto"/>
          <w:sz w:val="32"/>
          <w:szCs w:val="32"/>
        </w:rPr>
        <w:t xml:space="preserve">, </w:t>
      </w:r>
      <w:r w:rsidRPr="009A3BFF">
        <w:rPr>
          <w:b/>
          <w:bCs/>
          <w:color w:val="auto"/>
          <w:sz w:val="32"/>
          <w:szCs w:val="32"/>
        </w:rPr>
        <w:t xml:space="preserve">MA </w:t>
      </w:r>
      <w:r w:rsidR="001D0234">
        <w:rPr>
          <w:b/>
          <w:bCs/>
          <w:color w:val="auto"/>
          <w:sz w:val="32"/>
          <w:szCs w:val="32"/>
        </w:rPr>
        <w:t xml:space="preserve">SI </w:t>
      </w:r>
      <w:r w:rsidR="004041F5">
        <w:rPr>
          <w:b/>
          <w:bCs/>
          <w:color w:val="auto"/>
          <w:sz w:val="32"/>
          <w:szCs w:val="32"/>
        </w:rPr>
        <w:t>RID</w:t>
      </w:r>
      <w:r w:rsidR="001D0234">
        <w:rPr>
          <w:b/>
          <w:bCs/>
          <w:color w:val="auto"/>
          <w:sz w:val="32"/>
          <w:szCs w:val="32"/>
        </w:rPr>
        <w:t xml:space="preserve">UCE </w:t>
      </w:r>
      <w:r w:rsidR="00672C34">
        <w:rPr>
          <w:b/>
          <w:bCs/>
          <w:color w:val="auto"/>
          <w:sz w:val="32"/>
          <w:szCs w:val="32"/>
        </w:rPr>
        <w:t xml:space="preserve">ALL’80% </w:t>
      </w:r>
      <w:r w:rsidR="00391BD8">
        <w:rPr>
          <w:b/>
          <w:bCs/>
          <w:color w:val="auto"/>
          <w:sz w:val="32"/>
          <w:szCs w:val="32"/>
        </w:rPr>
        <w:t>PER L</w:t>
      </w:r>
      <w:r w:rsidR="006E4065">
        <w:rPr>
          <w:b/>
          <w:bCs/>
          <w:color w:val="auto"/>
          <w:sz w:val="32"/>
          <w:szCs w:val="32"/>
        </w:rPr>
        <w:t>A DIAGNOSI</w:t>
      </w:r>
    </w:p>
    <w:p w:rsidR="007B682B" w:rsidRPr="00C2652A" w:rsidRDefault="00CE577D" w:rsidP="00777916">
      <w:pPr>
        <w:spacing w:after="0" w:line="276" w:lineRule="auto"/>
        <w:jc w:val="both"/>
        <w:rPr>
          <w:b/>
          <w:bCs/>
          <w:color w:val="FF0000"/>
          <w:sz w:val="24"/>
          <w:szCs w:val="24"/>
          <w:u w:color="FF0000"/>
        </w:rPr>
      </w:pPr>
      <w:r w:rsidRPr="00C95BCB">
        <w:rPr>
          <w:b/>
          <w:bCs/>
          <w:color w:val="auto"/>
          <w:sz w:val="24"/>
          <w:szCs w:val="24"/>
        </w:rPr>
        <w:t xml:space="preserve">IL MONITORAGGIO DELLA FONDAZIONE GIMBE, NELLA SETTIMANA </w:t>
      </w:r>
      <w:r w:rsidR="00C95BCB" w:rsidRPr="00C95BCB">
        <w:rPr>
          <w:b/>
          <w:bCs/>
          <w:color w:val="auto"/>
          <w:sz w:val="24"/>
          <w:szCs w:val="24"/>
        </w:rPr>
        <w:t>25-31</w:t>
      </w:r>
      <w:r w:rsidRPr="00C95BCB">
        <w:rPr>
          <w:b/>
          <w:bCs/>
          <w:color w:val="auto"/>
          <w:sz w:val="24"/>
          <w:szCs w:val="24"/>
        </w:rPr>
        <w:t xml:space="preserve"> AGOSTO, RILEVA UN</w:t>
      </w:r>
      <w:r w:rsidR="00C95BCB" w:rsidRPr="00C95BCB">
        <w:rPr>
          <w:b/>
          <w:bCs/>
          <w:color w:val="auto"/>
          <w:sz w:val="24"/>
          <w:szCs w:val="24"/>
        </w:rPr>
        <w:t>A</w:t>
      </w:r>
      <w:r w:rsidRPr="00C95BCB">
        <w:rPr>
          <w:b/>
          <w:bCs/>
          <w:color w:val="auto"/>
          <w:sz w:val="24"/>
          <w:szCs w:val="24"/>
        </w:rPr>
        <w:t xml:space="preserve"> </w:t>
      </w:r>
      <w:r w:rsidR="00C95BCB" w:rsidRPr="00C95BCB">
        <w:rPr>
          <w:b/>
          <w:bCs/>
          <w:color w:val="auto"/>
          <w:sz w:val="24"/>
          <w:szCs w:val="24"/>
        </w:rPr>
        <w:t>SOSTANZIALE STABILITÀ DI NUOVI CASI</w:t>
      </w:r>
      <w:r w:rsidR="001A1D07" w:rsidRPr="00C95BCB">
        <w:rPr>
          <w:b/>
          <w:bCs/>
          <w:color w:val="auto"/>
          <w:sz w:val="24"/>
          <w:szCs w:val="24"/>
        </w:rPr>
        <w:t xml:space="preserve"> </w:t>
      </w:r>
      <w:r w:rsidR="00C95BCB" w:rsidRPr="00C95BCB">
        <w:rPr>
          <w:b/>
          <w:bCs/>
          <w:color w:val="auto"/>
          <w:sz w:val="24"/>
          <w:szCs w:val="24"/>
        </w:rPr>
        <w:t xml:space="preserve">E DECESSI. IN FRENATA </w:t>
      </w:r>
      <w:r w:rsidR="001F63AA">
        <w:rPr>
          <w:b/>
          <w:bCs/>
          <w:color w:val="auto"/>
          <w:sz w:val="24"/>
          <w:szCs w:val="24"/>
        </w:rPr>
        <w:t xml:space="preserve">L’AUMENTO DEI RICOVERI </w:t>
      </w:r>
      <w:r w:rsidRPr="00C95BCB">
        <w:rPr>
          <w:b/>
          <w:bCs/>
          <w:color w:val="auto"/>
          <w:sz w:val="24"/>
          <w:szCs w:val="24"/>
        </w:rPr>
        <w:t>IN AREA MEDICA (+</w:t>
      </w:r>
      <w:r w:rsidR="00C95BCB" w:rsidRPr="00C95BCB">
        <w:rPr>
          <w:b/>
          <w:bCs/>
          <w:color w:val="auto"/>
          <w:sz w:val="24"/>
          <w:szCs w:val="24"/>
        </w:rPr>
        <w:t>5,4</w:t>
      </w:r>
      <w:r w:rsidRPr="00C95BCB">
        <w:rPr>
          <w:b/>
          <w:bCs/>
          <w:color w:val="auto"/>
          <w:sz w:val="24"/>
          <w:szCs w:val="24"/>
        </w:rPr>
        <w:t xml:space="preserve">%) E </w:t>
      </w:r>
      <w:r w:rsidR="001F63AA">
        <w:rPr>
          <w:b/>
          <w:bCs/>
          <w:color w:val="auto"/>
          <w:sz w:val="24"/>
          <w:szCs w:val="24"/>
        </w:rPr>
        <w:t>IN</w:t>
      </w:r>
      <w:r w:rsidRPr="00C95BCB">
        <w:rPr>
          <w:b/>
          <w:bCs/>
          <w:color w:val="auto"/>
          <w:sz w:val="24"/>
          <w:szCs w:val="24"/>
        </w:rPr>
        <w:t xml:space="preserve"> </w:t>
      </w:r>
      <w:r w:rsidR="00B07EF4" w:rsidRPr="00C95BCB">
        <w:rPr>
          <w:b/>
          <w:bCs/>
          <w:color w:val="auto"/>
          <w:sz w:val="24"/>
          <w:szCs w:val="24"/>
        </w:rPr>
        <w:t>TERAPI</w:t>
      </w:r>
      <w:r w:rsidR="00B07EF4">
        <w:rPr>
          <w:b/>
          <w:bCs/>
          <w:color w:val="auto"/>
          <w:sz w:val="24"/>
          <w:szCs w:val="24"/>
        </w:rPr>
        <w:t>A</w:t>
      </w:r>
      <w:r w:rsidR="00B07EF4" w:rsidRPr="00C95BCB">
        <w:rPr>
          <w:b/>
          <w:bCs/>
          <w:color w:val="auto"/>
          <w:sz w:val="24"/>
          <w:szCs w:val="24"/>
        </w:rPr>
        <w:t xml:space="preserve"> INTENSIV</w:t>
      </w:r>
      <w:r w:rsidR="00B07EF4">
        <w:rPr>
          <w:b/>
          <w:bCs/>
          <w:color w:val="auto"/>
          <w:sz w:val="24"/>
          <w:szCs w:val="24"/>
        </w:rPr>
        <w:t>A</w:t>
      </w:r>
      <w:r w:rsidR="00B07EF4" w:rsidRPr="00C95BCB">
        <w:rPr>
          <w:b/>
          <w:bCs/>
          <w:color w:val="auto"/>
          <w:sz w:val="24"/>
          <w:szCs w:val="24"/>
        </w:rPr>
        <w:t xml:space="preserve"> </w:t>
      </w:r>
      <w:r w:rsidR="00EB6539" w:rsidRPr="00C95BCB">
        <w:rPr>
          <w:b/>
          <w:bCs/>
          <w:color w:val="auto"/>
          <w:sz w:val="24"/>
          <w:szCs w:val="24"/>
        </w:rPr>
        <w:t>(+</w:t>
      </w:r>
      <w:r w:rsidR="00C95BCB" w:rsidRPr="00C95BCB">
        <w:rPr>
          <w:b/>
          <w:bCs/>
          <w:color w:val="auto"/>
          <w:sz w:val="24"/>
          <w:szCs w:val="24"/>
        </w:rPr>
        <w:t>7,9</w:t>
      </w:r>
      <w:r w:rsidR="00B86D74" w:rsidRPr="00C95BCB">
        <w:rPr>
          <w:b/>
          <w:bCs/>
          <w:color w:val="auto"/>
          <w:sz w:val="24"/>
          <w:szCs w:val="24"/>
        </w:rPr>
        <w:t>%</w:t>
      </w:r>
      <w:r w:rsidR="00A76391" w:rsidRPr="00C95BCB">
        <w:rPr>
          <w:b/>
          <w:bCs/>
          <w:color w:val="auto"/>
          <w:sz w:val="24"/>
          <w:szCs w:val="24"/>
        </w:rPr>
        <w:t>)</w:t>
      </w:r>
      <w:r w:rsidR="00F441F1" w:rsidRPr="00C95BCB">
        <w:rPr>
          <w:b/>
          <w:bCs/>
          <w:color w:val="auto"/>
          <w:sz w:val="24"/>
          <w:szCs w:val="24"/>
        </w:rPr>
        <w:t>.</w:t>
      </w:r>
      <w:r w:rsidR="001A1D07" w:rsidRPr="00C95BCB">
        <w:rPr>
          <w:b/>
          <w:bCs/>
          <w:color w:val="auto"/>
          <w:sz w:val="24"/>
          <w:szCs w:val="24"/>
        </w:rPr>
        <w:t xml:space="preserve"> </w:t>
      </w:r>
      <w:r w:rsidR="001A1D07" w:rsidRPr="00484A42">
        <w:rPr>
          <w:b/>
          <w:bCs/>
          <w:color w:val="auto"/>
          <w:sz w:val="24"/>
          <w:szCs w:val="24"/>
        </w:rPr>
        <w:t xml:space="preserve">SUL FRONTE </w:t>
      </w:r>
      <w:r w:rsidR="00484A42" w:rsidRPr="00484A42">
        <w:rPr>
          <w:b/>
          <w:bCs/>
          <w:color w:val="auto"/>
          <w:sz w:val="24"/>
          <w:szCs w:val="24"/>
        </w:rPr>
        <w:t xml:space="preserve">DELLA </w:t>
      </w:r>
      <w:r w:rsidR="001A1D07" w:rsidRPr="00484A42">
        <w:rPr>
          <w:b/>
          <w:bCs/>
          <w:color w:val="auto"/>
          <w:sz w:val="24"/>
          <w:szCs w:val="24"/>
        </w:rPr>
        <w:t xml:space="preserve">CAMPAGNA VACCINALE </w:t>
      </w:r>
      <w:r w:rsidR="00A700EF">
        <w:rPr>
          <w:b/>
          <w:bCs/>
          <w:color w:val="auto"/>
          <w:sz w:val="24"/>
          <w:szCs w:val="24"/>
        </w:rPr>
        <w:t>RISALGONO LE</w:t>
      </w:r>
      <w:r w:rsidR="00484A42" w:rsidRPr="00484A42">
        <w:rPr>
          <w:b/>
          <w:bCs/>
          <w:color w:val="auto"/>
          <w:sz w:val="24"/>
          <w:szCs w:val="24"/>
        </w:rPr>
        <w:t xml:space="preserve"> PRIME DOSI (40% DEL TOTALE), </w:t>
      </w:r>
      <w:r w:rsidR="00484A42">
        <w:rPr>
          <w:b/>
          <w:bCs/>
          <w:color w:val="auto"/>
          <w:sz w:val="24"/>
          <w:szCs w:val="24"/>
        </w:rPr>
        <w:t xml:space="preserve">MA </w:t>
      </w:r>
      <w:r w:rsidR="00A700EF">
        <w:rPr>
          <w:b/>
          <w:bCs/>
          <w:color w:val="auto"/>
          <w:sz w:val="24"/>
          <w:szCs w:val="24"/>
        </w:rPr>
        <w:t>A FRONTE DI QUASI</w:t>
      </w:r>
      <w:r w:rsidR="00A700EF" w:rsidRPr="00484A42">
        <w:rPr>
          <w:b/>
          <w:bCs/>
          <w:color w:val="auto"/>
          <w:sz w:val="24"/>
          <w:szCs w:val="24"/>
        </w:rPr>
        <w:t xml:space="preserve"> 8 MILIONI DI DOSI </w:t>
      </w:r>
      <w:r w:rsidR="00A700EF">
        <w:rPr>
          <w:b/>
          <w:bCs/>
          <w:color w:val="auto"/>
          <w:sz w:val="24"/>
          <w:szCs w:val="24"/>
        </w:rPr>
        <w:t>DISPONIBILI</w:t>
      </w:r>
      <w:r w:rsidR="00A700EF" w:rsidRPr="00484A42">
        <w:rPr>
          <w:b/>
          <w:bCs/>
          <w:color w:val="auto"/>
          <w:sz w:val="24"/>
          <w:szCs w:val="24"/>
        </w:rPr>
        <w:t xml:space="preserve"> </w:t>
      </w:r>
      <w:r w:rsidR="00540EB3">
        <w:rPr>
          <w:b/>
          <w:bCs/>
          <w:color w:val="auto"/>
          <w:sz w:val="24"/>
          <w:szCs w:val="24"/>
        </w:rPr>
        <w:t xml:space="preserve">RIMANGONO </w:t>
      </w:r>
      <w:r w:rsidR="00484A42">
        <w:rPr>
          <w:b/>
          <w:bCs/>
          <w:color w:val="auto"/>
          <w:sz w:val="24"/>
          <w:szCs w:val="24"/>
        </w:rPr>
        <w:t>OLTRE 3,3 MILIONI DI</w:t>
      </w:r>
      <w:r w:rsidR="00484A42" w:rsidRPr="00484A42">
        <w:rPr>
          <w:b/>
          <w:bCs/>
          <w:color w:val="auto"/>
          <w:sz w:val="24"/>
          <w:szCs w:val="24"/>
        </w:rPr>
        <w:t xml:space="preserve"> OVER 50</w:t>
      </w:r>
      <w:r w:rsidR="00484A42">
        <w:rPr>
          <w:b/>
          <w:bCs/>
          <w:color w:val="auto"/>
          <w:sz w:val="24"/>
          <w:szCs w:val="24"/>
        </w:rPr>
        <w:t xml:space="preserve"> SEN</w:t>
      </w:r>
      <w:r w:rsidR="001F63AA">
        <w:rPr>
          <w:b/>
          <w:bCs/>
          <w:color w:val="auto"/>
          <w:sz w:val="24"/>
          <w:szCs w:val="24"/>
        </w:rPr>
        <w:t>Z</w:t>
      </w:r>
      <w:r w:rsidR="00484A42">
        <w:rPr>
          <w:b/>
          <w:bCs/>
          <w:color w:val="auto"/>
          <w:sz w:val="24"/>
          <w:szCs w:val="24"/>
        </w:rPr>
        <w:t xml:space="preserve">A ALCUNA COPERTURA. </w:t>
      </w:r>
      <w:r w:rsidR="00BB60A5">
        <w:rPr>
          <w:b/>
          <w:bCs/>
          <w:color w:val="auto"/>
          <w:sz w:val="24"/>
          <w:szCs w:val="24"/>
        </w:rPr>
        <w:t>CONSIDERAT</w:t>
      </w:r>
      <w:r w:rsidR="001F63AA">
        <w:rPr>
          <w:b/>
          <w:bCs/>
          <w:color w:val="auto"/>
          <w:sz w:val="24"/>
          <w:szCs w:val="24"/>
        </w:rPr>
        <w:t>A L</w:t>
      </w:r>
      <w:r w:rsidR="00986C25">
        <w:rPr>
          <w:b/>
          <w:bCs/>
          <w:color w:val="auto"/>
          <w:sz w:val="24"/>
          <w:szCs w:val="24"/>
        </w:rPr>
        <w:t xml:space="preserve">A </w:t>
      </w:r>
      <w:r w:rsidR="001F63AA">
        <w:rPr>
          <w:b/>
          <w:bCs/>
          <w:color w:val="auto"/>
          <w:sz w:val="24"/>
          <w:szCs w:val="24"/>
        </w:rPr>
        <w:t>“SCADENZA” DEI GRE</w:t>
      </w:r>
      <w:r w:rsidR="00BB60A5">
        <w:rPr>
          <w:b/>
          <w:bCs/>
          <w:color w:val="auto"/>
          <w:sz w:val="24"/>
          <w:szCs w:val="24"/>
        </w:rPr>
        <w:t>E</w:t>
      </w:r>
      <w:r w:rsidR="001D0234">
        <w:rPr>
          <w:b/>
          <w:bCs/>
          <w:color w:val="auto"/>
          <w:sz w:val="24"/>
          <w:szCs w:val="24"/>
        </w:rPr>
        <w:t>N PA</w:t>
      </w:r>
      <w:bookmarkStart w:id="0" w:name="_GoBack"/>
      <w:bookmarkEnd w:id="0"/>
      <w:r w:rsidR="001D0234">
        <w:rPr>
          <w:b/>
          <w:bCs/>
          <w:color w:val="auto"/>
          <w:sz w:val="24"/>
          <w:szCs w:val="24"/>
        </w:rPr>
        <w:t xml:space="preserve">SS PER </w:t>
      </w:r>
      <w:r w:rsidR="00A700EF">
        <w:rPr>
          <w:b/>
          <w:bCs/>
          <w:color w:val="auto"/>
          <w:sz w:val="24"/>
          <w:szCs w:val="24"/>
        </w:rPr>
        <w:t>I PRIMI VACCINATI</w:t>
      </w:r>
      <w:r w:rsidR="001D0234">
        <w:rPr>
          <w:b/>
          <w:bCs/>
          <w:color w:val="auto"/>
          <w:sz w:val="24"/>
          <w:szCs w:val="24"/>
        </w:rPr>
        <w:t xml:space="preserve"> </w:t>
      </w:r>
      <w:r w:rsidR="00BB60A5">
        <w:rPr>
          <w:b/>
          <w:bCs/>
          <w:color w:val="auto"/>
          <w:sz w:val="24"/>
          <w:szCs w:val="24"/>
        </w:rPr>
        <w:t>E IN ATTESA DELLE DECISIONI</w:t>
      </w:r>
      <w:r w:rsidR="001A3E0F">
        <w:rPr>
          <w:b/>
          <w:bCs/>
          <w:color w:val="auto"/>
          <w:sz w:val="24"/>
          <w:szCs w:val="24"/>
        </w:rPr>
        <w:t xml:space="preserve"> DELL’AUTORITÀ REGOLATORIA SULL</w:t>
      </w:r>
      <w:r w:rsidR="00A700EF">
        <w:rPr>
          <w:b/>
          <w:bCs/>
          <w:color w:val="auto"/>
          <w:sz w:val="24"/>
          <w:szCs w:val="24"/>
        </w:rPr>
        <w:t>A</w:t>
      </w:r>
      <w:r w:rsidR="001A3E0F">
        <w:rPr>
          <w:b/>
          <w:bCs/>
          <w:color w:val="auto"/>
          <w:sz w:val="24"/>
          <w:szCs w:val="24"/>
        </w:rPr>
        <w:t xml:space="preserve"> </w:t>
      </w:r>
      <w:r w:rsidR="00BB60A5">
        <w:rPr>
          <w:b/>
          <w:bCs/>
          <w:color w:val="auto"/>
          <w:sz w:val="24"/>
          <w:szCs w:val="24"/>
        </w:rPr>
        <w:t xml:space="preserve">TERZA DOSE, </w:t>
      </w:r>
      <w:r w:rsidR="00484A42" w:rsidRPr="00484A42">
        <w:rPr>
          <w:b/>
          <w:bCs/>
          <w:color w:val="auto"/>
          <w:sz w:val="24"/>
          <w:szCs w:val="24"/>
        </w:rPr>
        <w:t>LA FONDAZIONE GIMBE</w:t>
      </w:r>
      <w:r w:rsidR="00484A42" w:rsidRPr="00BB60A5">
        <w:rPr>
          <w:b/>
          <w:bCs/>
          <w:color w:val="auto"/>
          <w:sz w:val="24"/>
          <w:szCs w:val="24"/>
        </w:rPr>
        <w:t xml:space="preserve"> </w:t>
      </w:r>
      <w:r w:rsidR="00986C25">
        <w:rPr>
          <w:b/>
          <w:bCs/>
          <w:color w:val="auto"/>
          <w:sz w:val="24"/>
          <w:szCs w:val="24"/>
        </w:rPr>
        <w:t xml:space="preserve">ANALIZZA I DATI SU </w:t>
      </w:r>
      <w:r w:rsidR="00BB60A5" w:rsidRPr="00BB60A5">
        <w:rPr>
          <w:b/>
          <w:bCs/>
          <w:color w:val="auto"/>
          <w:sz w:val="24"/>
          <w:szCs w:val="24"/>
        </w:rPr>
        <w:t>EFFICACIA VACCINALE E DURATA DELL</w:t>
      </w:r>
      <w:r w:rsidR="00BB60A5">
        <w:rPr>
          <w:b/>
          <w:bCs/>
          <w:color w:val="auto"/>
          <w:sz w:val="24"/>
          <w:szCs w:val="24"/>
        </w:rPr>
        <w:t>A</w:t>
      </w:r>
      <w:r w:rsidR="00BB60A5" w:rsidRPr="00BB60A5">
        <w:rPr>
          <w:b/>
          <w:bCs/>
          <w:color w:val="auto"/>
          <w:sz w:val="24"/>
          <w:szCs w:val="24"/>
        </w:rPr>
        <w:t xml:space="preserve"> COPERTUR</w:t>
      </w:r>
      <w:r w:rsidR="00BB60A5">
        <w:rPr>
          <w:b/>
          <w:bCs/>
          <w:color w:val="auto"/>
          <w:sz w:val="24"/>
          <w:szCs w:val="24"/>
        </w:rPr>
        <w:t>A</w:t>
      </w:r>
      <w:r w:rsidR="001A3E0F">
        <w:rPr>
          <w:b/>
          <w:bCs/>
          <w:color w:val="auto"/>
          <w:sz w:val="24"/>
          <w:szCs w:val="24"/>
        </w:rPr>
        <w:t xml:space="preserve"> NEL NOSTRO PAESE</w:t>
      </w:r>
      <w:r w:rsidR="00BB60A5" w:rsidRPr="00BB60A5">
        <w:rPr>
          <w:b/>
          <w:bCs/>
          <w:color w:val="auto"/>
          <w:sz w:val="24"/>
          <w:szCs w:val="24"/>
        </w:rPr>
        <w:t>.</w:t>
      </w:r>
      <w:r w:rsidR="00BB60A5">
        <w:rPr>
          <w:b/>
          <w:bCs/>
          <w:color w:val="FF0000"/>
          <w:sz w:val="24"/>
          <w:szCs w:val="24"/>
        </w:rPr>
        <w:t xml:space="preserve"> </w:t>
      </w:r>
    </w:p>
    <w:p w:rsidR="007B682B" w:rsidRDefault="00C2652A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 settembre</w:t>
      </w:r>
      <w:r w:rsidR="00CE577D">
        <w:rPr>
          <w:b/>
          <w:bCs/>
          <w:sz w:val="24"/>
          <w:szCs w:val="24"/>
        </w:rPr>
        <w:t xml:space="preserve"> 2021 - Fondazione GIMBE, Bologna</w:t>
      </w:r>
    </w:p>
    <w:p w:rsidR="006850DD" w:rsidRPr="00F45600" w:rsidRDefault="006850DD" w:rsidP="006176B8">
      <w:pPr>
        <w:spacing w:after="120" w:line="276" w:lineRule="auto"/>
        <w:jc w:val="both"/>
        <w:rPr>
          <w:color w:val="auto"/>
        </w:rPr>
      </w:pPr>
      <w:r w:rsidRPr="006850DD">
        <w:rPr>
          <w:color w:val="auto"/>
        </w:rPr>
        <w:t xml:space="preserve">Il monitoraggio indipendente della Fondazione GIMBE rileva nella settimana 25-31 agosto 2021, rispetto alla precedente, una </w:t>
      </w:r>
      <w:r w:rsidR="00736022">
        <w:rPr>
          <w:color w:val="auto"/>
        </w:rPr>
        <w:t xml:space="preserve">sostanziale </w:t>
      </w:r>
      <w:r>
        <w:rPr>
          <w:color w:val="auto"/>
        </w:rPr>
        <w:t>stabilità</w:t>
      </w:r>
      <w:r w:rsidRPr="006850DD">
        <w:rPr>
          <w:color w:val="auto"/>
        </w:rPr>
        <w:t xml:space="preserve"> d</w:t>
      </w:r>
      <w:r>
        <w:rPr>
          <w:color w:val="auto"/>
        </w:rPr>
        <w:t>e</w:t>
      </w:r>
      <w:r w:rsidRPr="006850DD">
        <w:rPr>
          <w:color w:val="auto"/>
        </w:rPr>
        <w:t>i nuovi casi (45.134 vs 45.251) (</w:t>
      </w:r>
      <w:r w:rsidRPr="006850DD">
        <w:rPr>
          <w:color w:val="auto"/>
          <w:highlight w:val="yellow"/>
        </w:rPr>
        <w:t>figura 1</w:t>
      </w:r>
      <w:r w:rsidRPr="006850DD">
        <w:rPr>
          <w:color w:val="auto"/>
        </w:rPr>
        <w:t xml:space="preserve">) e </w:t>
      </w:r>
      <w:r>
        <w:rPr>
          <w:color w:val="auto"/>
        </w:rPr>
        <w:t xml:space="preserve">dei </w:t>
      </w:r>
      <w:r w:rsidRPr="006850DD">
        <w:rPr>
          <w:color w:val="auto"/>
        </w:rPr>
        <w:t>decessi (366 vs 345) (</w:t>
      </w:r>
      <w:r w:rsidRPr="006850DD">
        <w:rPr>
          <w:color w:val="auto"/>
          <w:highlight w:val="yellow"/>
        </w:rPr>
        <w:t>figura 2</w:t>
      </w:r>
      <w:r w:rsidR="00736022">
        <w:rPr>
          <w:color w:val="auto"/>
        </w:rPr>
        <w:t xml:space="preserve">). </w:t>
      </w:r>
      <w:r w:rsidR="00254744">
        <w:rPr>
          <w:color w:val="auto"/>
        </w:rPr>
        <w:t xml:space="preserve">Lieve aumento di </w:t>
      </w:r>
      <w:r w:rsidRPr="006850DD">
        <w:rPr>
          <w:color w:val="auto"/>
        </w:rPr>
        <w:t>casi attualmente positivi (137.925 vs 135.325), persone in isolamento domiciliare (133.129 vs 130.785), ricoveri con sintomi (4.252 vs 4.036) e terapie intensive (544 vs 504) (</w:t>
      </w:r>
      <w:r w:rsidRPr="006850DD">
        <w:rPr>
          <w:color w:val="auto"/>
          <w:highlight w:val="yellow"/>
        </w:rPr>
        <w:t>figura 3</w:t>
      </w:r>
      <w:r w:rsidRPr="006850DD">
        <w:rPr>
          <w:color w:val="auto"/>
        </w:rPr>
        <w:t>). In dettaglio, rispetto alla settimana precedente, si registrano le seguenti variazioni:</w:t>
      </w:r>
    </w:p>
    <w:p w:rsidR="006850DD" w:rsidRPr="006850DD" w:rsidRDefault="006850DD" w:rsidP="006850DD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6850DD">
        <w:rPr>
          <w:color w:val="auto"/>
        </w:rPr>
        <w:t>Decessi: 366 (</w:t>
      </w:r>
      <w:r>
        <w:rPr>
          <w:color w:val="auto"/>
        </w:rPr>
        <w:t>+</w:t>
      </w:r>
      <w:r w:rsidRPr="006850DD">
        <w:rPr>
          <w:color w:val="auto"/>
        </w:rPr>
        <w:t>6,1%)</w:t>
      </w:r>
      <w:r w:rsidR="00634936">
        <w:rPr>
          <w:color w:val="auto"/>
        </w:rPr>
        <w:t xml:space="preserve">, di cui 42 </w:t>
      </w:r>
      <w:r w:rsidR="00634936" w:rsidRPr="00634936">
        <w:rPr>
          <w:color w:val="auto"/>
        </w:rPr>
        <w:t>riferiti a periodi precedenti</w:t>
      </w:r>
    </w:p>
    <w:p w:rsidR="006850DD" w:rsidRPr="006850DD" w:rsidRDefault="006850DD" w:rsidP="006850DD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6850DD">
        <w:rPr>
          <w:color w:val="auto"/>
        </w:rPr>
        <w:t xml:space="preserve">Terapia intensiva: </w:t>
      </w:r>
      <w:r>
        <w:rPr>
          <w:color w:val="auto"/>
        </w:rPr>
        <w:t>+</w:t>
      </w:r>
      <w:r w:rsidRPr="006850DD">
        <w:rPr>
          <w:color w:val="auto"/>
        </w:rPr>
        <w:t>40 (</w:t>
      </w:r>
      <w:r>
        <w:rPr>
          <w:color w:val="auto"/>
        </w:rPr>
        <w:t>+</w:t>
      </w:r>
      <w:r w:rsidRPr="006850DD">
        <w:rPr>
          <w:color w:val="auto"/>
        </w:rPr>
        <w:t>7,9%)</w:t>
      </w:r>
    </w:p>
    <w:p w:rsidR="006850DD" w:rsidRPr="006850DD" w:rsidRDefault="006850DD" w:rsidP="006850DD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6850DD">
        <w:rPr>
          <w:color w:val="auto"/>
        </w:rPr>
        <w:t xml:space="preserve">Ricoverati con sintomi: </w:t>
      </w:r>
      <w:r>
        <w:rPr>
          <w:color w:val="auto"/>
        </w:rPr>
        <w:t>+</w:t>
      </w:r>
      <w:r w:rsidRPr="006850DD">
        <w:rPr>
          <w:color w:val="auto"/>
        </w:rPr>
        <w:t>216 (</w:t>
      </w:r>
      <w:r>
        <w:rPr>
          <w:color w:val="auto"/>
        </w:rPr>
        <w:t>+</w:t>
      </w:r>
      <w:r w:rsidRPr="006850DD">
        <w:rPr>
          <w:color w:val="auto"/>
        </w:rPr>
        <w:t>5,4%)</w:t>
      </w:r>
    </w:p>
    <w:p w:rsidR="006850DD" w:rsidRPr="006850DD" w:rsidRDefault="006850DD" w:rsidP="006850DD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6850DD">
        <w:rPr>
          <w:color w:val="auto"/>
        </w:rPr>
        <w:t xml:space="preserve">Isolamento domiciliare: </w:t>
      </w:r>
      <w:r>
        <w:rPr>
          <w:color w:val="auto"/>
        </w:rPr>
        <w:t>+</w:t>
      </w:r>
      <w:r w:rsidRPr="006850DD">
        <w:rPr>
          <w:color w:val="auto"/>
        </w:rPr>
        <w:t>2.344 (</w:t>
      </w:r>
      <w:r>
        <w:rPr>
          <w:color w:val="auto"/>
        </w:rPr>
        <w:t>+</w:t>
      </w:r>
      <w:r w:rsidRPr="006850DD">
        <w:rPr>
          <w:color w:val="auto"/>
        </w:rPr>
        <w:t>1,8%)</w:t>
      </w:r>
    </w:p>
    <w:p w:rsidR="006850DD" w:rsidRPr="006850DD" w:rsidRDefault="006850DD" w:rsidP="006850DD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6850DD">
        <w:rPr>
          <w:color w:val="auto"/>
        </w:rPr>
        <w:t>Nuovi casi: 45.134 (-</w:t>
      </w:r>
      <w:r>
        <w:rPr>
          <w:color w:val="auto"/>
        </w:rPr>
        <w:t>0</w:t>
      </w:r>
      <w:r w:rsidRPr="006850DD">
        <w:rPr>
          <w:color w:val="auto"/>
        </w:rPr>
        <w:t>,3%)</w:t>
      </w:r>
    </w:p>
    <w:p w:rsidR="006850DD" w:rsidRDefault="006850DD" w:rsidP="006850DD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 w:rsidRPr="006850DD">
        <w:rPr>
          <w:color w:val="auto"/>
        </w:rPr>
        <w:t xml:space="preserve">Casi attualmente positivi: </w:t>
      </w:r>
      <w:r>
        <w:rPr>
          <w:color w:val="auto"/>
        </w:rPr>
        <w:t>+</w:t>
      </w:r>
      <w:r w:rsidRPr="006850DD">
        <w:rPr>
          <w:color w:val="auto"/>
        </w:rPr>
        <w:t>2.600 (</w:t>
      </w:r>
      <w:r>
        <w:rPr>
          <w:color w:val="auto"/>
        </w:rPr>
        <w:t>+</w:t>
      </w:r>
      <w:r w:rsidRPr="006850DD">
        <w:rPr>
          <w:color w:val="auto"/>
        </w:rPr>
        <w:t>1,9%)</w:t>
      </w:r>
    </w:p>
    <w:p w:rsidR="00797AB7" w:rsidRDefault="00797AB7" w:rsidP="00EE1262">
      <w:pPr>
        <w:spacing w:line="276" w:lineRule="auto"/>
        <w:jc w:val="both"/>
        <w:rPr>
          <w:color w:val="auto"/>
        </w:rPr>
      </w:pPr>
      <w:r w:rsidRPr="006850DD">
        <w:rPr>
          <w:color w:val="auto"/>
        </w:rPr>
        <w:t>«</w:t>
      </w:r>
      <w:r w:rsidR="00263DA4">
        <w:rPr>
          <w:color w:val="auto"/>
        </w:rPr>
        <w:t xml:space="preserve">Rimangono stabili </w:t>
      </w:r>
      <w:r w:rsidRPr="006850DD">
        <w:rPr>
          <w:color w:val="auto"/>
        </w:rPr>
        <w:t>– dichiara Nino Cartabellotta, Presidente della Fondazione GIMBE –</w:t>
      </w:r>
      <w:r w:rsidR="00263DA4">
        <w:rPr>
          <w:color w:val="auto"/>
        </w:rPr>
        <w:t xml:space="preserve"> i </w:t>
      </w:r>
      <w:r w:rsidR="00263DA4" w:rsidRPr="006850DD">
        <w:rPr>
          <w:color w:val="auto"/>
        </w:rPr>
        <w:t>nuovi casi settimanali</w:t>
      </w:r>
      <w:r w:rsidR="00263DA4">
        <w:rPr>
          <w:color w:val="auto"/>
        </w:rPr>
        <w:t xml:space="preserve">, </w:t>
      </w:r>
      <w:r w:rsidR="006850DD" w:rsidRPr="006850DD">
        <w:rPr>
          <w:color w:val="auto"/>
        </w:rPr>
        <w:t xml:space="preserve">sia </w:t>
      </w:r>
      <w:r w:rsidR="00254744">
        <w:rPr>
          <w:color w:val="auto"/>
        </w:rPr>
        <w:t>come numeri</w:t>
      </w:r>
      <w:r w:rsidR="00263DA4">
        <w:rPr>
          <w:color w:val="auto"/>
        </w:rPr>
        <w:t xml:space="preserve"> </w:t>
      </w:r>
      <w:r w:rsidR="00254744">
        <w:rPr>
          <w:color w:val="auto"/>
        </w:rPr>
        <w:t>assoluti</w:t>
      </w:r>
      <w:r w:rsidR="006850DD" w:rsidRPr="006850DD">
        <w:rPr>
          <w:color w:val="auto"/>
        </w:rPr>
        <w:t xml:space="preserve"> che come </w:t>
      </w:r>
      <w:r w:rsidRPr="006850DD">
        <w:rPr>
          <w:color w:val="auto"/>
        </w:rPr>
        <w:t xml:space="preserve">media mobile dei casi giornalieri </w:t>
      </w:r>
      <w:r w:rsidR="00E97680">
        <w:rPr>
          <w:color w:val="auto"/>
        </w:rPr>
        <w:t xml:space="preserve">che si attesta a 6.448 </w:t>
      </w:r>
      <w:r w:rsidRPr="006850DD">
        <w:rPr>
          <w:color w:val="auto"/>
        </w:rPr>
        <w:t>(</w:t>
      </w:r>
      <w:r w:rsidRPr="006850DD">
        <w:rPr>
          <w:color w:val="auto"/>
          <w:highlight w:val="yellow"/>
        </w:rPr>
        <w:t xml:space="preserve">figura </w:t>
      </w:r>
      <w:r w:rsidR="00B86D74" w:rsidRPr="006850DD">
        <w:rPr>
          <w:color w:val="auto"/>
          <w:highlight w:val="yellow"/>
        </w:rPr>
        <w:t>4</w:t>
      </w:r>
      <w:r w:rsidR="005A6770" w:rsidRPr="006850DD">
        <w:rPr>
          <w:color w:val="auto"/>
        </w:rPr>
        <w:t>)</w:t>
      </w:r>
      <w:r w:rsidR="005A6770">
        <w:rPr>
          <w:color w:val="auto"/>
        </w:rPr>
        <w:t xml:space="preserve">. I </w:t>
      </w:r>
      <w:r w:rsidR="009B7CBC">
        <w:rPr>
          <w:color w:val="auto"/>
        </w:rPr>
        <w:t>casi</w:t>
      </w:r>
      <w:r w:rsidR="00F75BEE">
        <w:rPr>
          <w:color w:val="auto"/>
        </w:rPr>
        <w:t xml:space="preserve"> rimangono</w:t>
      </w:r>
      <w:r w:rsidR="00322C39" w:rsidRPr="006850DD">
        <w:rPr>
          <w:color w:val="auto"/>
        </w:rPr>
        <w:t xml:space="preserve"> </w:t>
      </w:r>
      <w:r w:rsidR="005A6770">
        <w:rPr>
          <w:color w:val="auto"/>
        </w:rPr>
        <w:t xml:space="preserve">tuttavia </w:t>
      </w:r>
      <w:r w:rsidRPr="006850DD">
        <w:rPr>
          <w:color w:val="auto"/>
        </w:rPr>
        <w:t xml:space="preserve">sottostimati dall’insufficiente attività di testing e dalla limitata attività di tracciamento dei contatti». </w:t>
      </w:r>
      <w:r w:rsidR="006850DD" w:rsidRPr="006850DD">
        <w:rPr>
          <w:color w:val="auto"/>
        </w:rPr>
        <w:t xml:space="preserve">Nella settimana 25-31 agosto, rispetto alla precedente, </w:t>
      </w:r>
      <w:r w:rsidR="00254744" w:rsidRPr="006850DD">
        <w:rPr>
          <w:color w:val="auto"/>
        </w:rPr>
        <w:t xml:space="preserve">in 9 Regioni </w:t>
      </w:r>
      <w:r w:rsidR="006850DD" w:rsidRPr="006850DD">
        <w:rPr>
          <w:color w:val="auto"/>
        </w:rPr>
        <w:t>si rileva un incremento percentuale dei nuovi casi</w:t>
      </w:r>
      <w:r w:rsidR="00F75BEE">
        <w:rPr>
          <w:color w:val="auto"/>
        </w:rPr>
        <w:t>,</w:t>
      </w:r>
      <w:r w:rsidR="00BD27F8">
        <w:rPr>
          <w:color w:val="auto"/>
        </w:rPr>
        <w:t xml:space="preserve"> mentre sono </w:t>
      </w:r>
      <w:r w:rsidR="006850DD" w:rsidRPr="006850DD">
        <w:rPr>
          <w:color w:val="auto"/>
        </w:rPr>
        <w:t xml:space="preserve">12 </w:t>
      </w:r>
      <w:r w:rsidR="00BD27F8">
        <w:rPr>
          <w:color w:val="auto"/>
        </w:rPr>
        <w:t xml:space="preserve">le </w:t>
      </w:r>
      <w:r w:rsidR="006850DD" w:rsidRPr="006850DD">
        <w:rPr>
          <w:color w:val="auto"/>
        </w:rPr>
        <w:t xml:space="preserve">Regioni </w:t>
      </w:r>
      <w:r w:rsidR="00BD27F8">
        <w:rPr>
          <w:color w:val="auto"/>
        </w:rPr>
        <w:t>in cui crescono gli</w:t>
      </w:r>
      <w:r w:rsidR="00BD27F8" w:rsidRPr="006850DD">
        <w:rPr>
          <w:color w:val="auto"/>
        </w:rPr>
        <w:t xml:space="preserve"> attualmente positivi </w:t>
      </w:r>
      <w:r w:rsidRPr="006850DD">
        <w:rPr>
          <w:color w:val="auto"/>
        </w:rPr>
        <w:t>(</w:t>
      </w:r>
      <w:r w:rsidRPr="006850DD">
        <w:rPr>
          <w:color w:val="auto"/>
          <w:shd w:val="clear" w:color="auto" w:fill="FFFF00"/>
        </w:rPr>
        <w:t>tabella 1</w:t>
      </w:r>
      <w:r w:rsidRPr="006850DD">
        <w:rPr>
          <w:color w:val="auto"/>
        </w:rPr>
        <w:t xml:space="preserve">). </w:t>
      </w:r>
      <w:bookmarkStart w:id="1" w:name="_Hlk74138709"/>
      <w:r w:rsidR="006850DD" w:rsidRPr="006850DD">
        <w:rPr>
          <w:color w:val="auto"/>
        </w:rPr>
        <w:t xml:space="preserve">In 67 Province l’incidenza è pari o superiore a 50 casi per 100.000 abitanti: in Basilicata, </w:t>
      </w:r>
      <w:r w:rsidR="00634936" w:rsidRPr="006850DD">
        <w:rPr>
          <w:color w:val="auto"/>
        </w:rPr>
        <w:t>Emilia-Romagna</w:t>
      </w:r>
      <w:r w:rsidR="006850DD" w:rsidRPr="006850DD">
        <w:rPr>
          <w:color w:val="auto"/>
        </w:rPr>
        <w:t>, Marche, Sicilia, Toscana, Umbria e Veneto tutte le Province raggiungono o superano tale soglia. Sono 11 le Province con oltre 150 casi per 100.000 abitanti: Enna (310), Siracusa (270), Caltanissetta (261), Ragusa (252), Cagliari (210), Catania (191), Palermo (172), Reggio di Calabria (167), Messina (164), Trapani (162), Sud Sardegna (156) (</w:t>
      </w:r>
      <w:r w:rsidR="006850DD" w:rsidRPr="006850DD">
        <w:rPr>
          <w:color w:val="auto"/>
          <w:highlight w:val="yellow"/>
        </w:rPr>
        <w:t>tabella 2</w:t>
      </w:r>
      <w:r w:rsidR="006850DD" w:rsidRPr="006850DD">
        <w:rPr>
          <w:color w:val="auto"/>
        </w:rPr>
        <w:t>).</w:t>
      </w:r>
      <w:r w:rsidR="006850DD">
        <w:rPr>
          <w:color w:val="auto"/>
        </w:rPr>
        <w:t xml:space="preserve"> Stabili i decessi</w:t>
      </w:r>
      <w:r w:rsidRPr="006850DD">
        <w:rPr>
          <w:color w:val="auto"/>
        </w:rPr>
        <w:t xml:space="preserve">: </w:t>
      </w:r>
      <w:r w:rsidR="006850DD">
        <w:rPr>
          <w:color w:val="auto"/>
        </w:rPr>
        <w:t>366</w:t>
      </w:r>
      <w:r w:rsidRPr="006850DD">
        <w:rPr>
          <w:color w:val="auto"/>
        </w:rPr>
        <w:t xml:space="preserve"> </w:t>
      </w:r>
      <w:r w:rsidR="00F75BEE">
        <w:rPr>
          <w:color w:val="auto"/>
        </w:rPr>
        <w:t>di cui</w:t>
      </w:r>
      <w:r w:rsidR="006850DD">
        <w:rPr>
          <w:color w:val="auto"/>
        </w:rPr>
        <w:t xml:space="preserve"> 42</w:t>
      </w:r>
      <w:r w:rsidR="00391BD8">
        <w:rPr>
          <w:color w:val="auto"/>
        </w:rPr>
        <w:t xml:space="preserve"> relativi a </w:t>
      </w:r>
      <w:r w:rsidR="006850DD">
        <w:rPr>
          <w:color w:val="auto"/>
        </w:rPr>
        <w:t>periodi precedent</w:t>
      </w:r>
      <w:bookmarkEnd w:id="1"/>
      <w:r w:rsidR="00736022">
        <w:rPr>
          <w:color w:val="auto"/>
        </w:rPr>
        <w:t>i</w:t>
      </w:r>
      <w:r w:rsidR="007433AC">
        <w:rPr>
          <w:color w:val="auto"/>
        </w:rPr>
        <w:t>.</w:t>
      </w:r>
    </w:p>
    <w:p w:rsidR="006850DD" w:rsidRDefault="00CE577D" w:rsidP="002B7A43">
      <w:pPr>
        <w:spacing w:line="276" w:lineRule="auto"/>
        <w:jc w:val="both"/>
        <w:rPr>
          <w:color w:val="auto"/>
        </w:rPr>
      </w:pPr>
      <w:r w:rsidRPr="008D00D2">
        <w:rPr>
          <w:color w:val="auto"/>
        </w:rPr>
        <w:t>«</w:t>
      </w:r>
      <w:r w:rsidR="007E1912">
        <w:rPr>
          <w:color w:val="auto"/>
        </w:rPr>
        <w:t>Sul fronte ospedaliero</w:t>
      </w:r>
      <w:r w:rsidR="00263DA4">
        <w:rPr>
          <w:color w:val="auto"/>
        </w:rPr>
        <w:t xml:space="preserve"> </w:t>
      </w:r>
      <w:r w:rsidRPr="008D00D2">
        <w:rPr>
          <w:color w:val="auto"/>
        </w:rPr>
        <w:t>– afferma Renata Gili, responsabile Ricerca sui Servizi Sanitari della Fondazione GIMBE –</w:t>
      </w:r>
      <w:r w:rsidR="007E1912">
        <w:rPr>
          <w:color w:val="auto"/>
        </w:rPr>
        <w:t xml:space="preserve"> frena</w:t>
      </w:r>
      <w:r w:rsidRPr="008D00D2">
        <w:rPr>
          <w:color w:val="auto"/>
        </w:rPr>
        <w:t xml:space="preserve"> </w:t>
      </w:r>
      <w:r w:rsidR="00263DA4" w:rsidRPr="000A08BA">
        <w:rPr>
          <w:color w:val="auto"/>
        </w:rPr>
        <w:t xml:space="preserve">l’aumento </w:t>
      </w:r>
      <w:r w:rsidR="00254744" w:rsidRPr="009B7CBC">
        <w:rPr>
          <w:color w:val="auto"/>
        </w:rPr>
        <w:t>dei</w:t>
      </w:r>
      <w:r w:rsidR="008D00D2" w:rsidRPr="009B7CBC">
        <w:rPr>
          <w:color w:val="auto"/>
        </w:rPr>
        <w:t xml:space="preserve"> posti letto occupati</w:t>
      </w:r>
      <w:r w:rsidRPr="009B7CBC">
        <w:rPr>
          <w:color w:val="auto"/>
        </w:rPr>
        <w:t xml:space="preserve">: </w:t>
      </w:r>
      <w:r w:rsidR="007B6DAF" w:rsidRPr="000A08BA">
        <w:rPr>
          <w:color w:val="auto"/>
        </w:rPr>
        <w:t xml:space="preserve">rispetto </w:t>
      </w:r>
      <w:r w:rsidR="007B6DAF">
        <w:rPr>
          <w:color w:val="auto"/>
        </w:rPr>
        <w:t xml:space="preserve">alla settimana precedente </w:t>
      </w:r>
      <w:r w:rsidRPr="008D00D2">
        <w:rPr>
          <w:color w:val="auto"/>
        </w:rPr>
        <w:t>+</w:t>
      </w:r>
      <w:r w:rsidR="006850DD">
        <w:rPr>
          <w:color w:val="auto"/>
        </w:rPr>
        <w:t>5</w:t>
      </w:r>
      <w:r w:rsidR="00F45600" w:rsidRPr="00F45600">
        <w:rPr>
          <w:color w:val="auto"/>
        </w:rPr>
        <w:t>,</w:t>
      </w:r>
      <w:r w:rsidR="006850DD">
        <w:rPr>
          <w:color w:val="auto"/>
        </w:rPr>
        <w:t>4</w:t>
      </w:r>
      <w:r w:rsidRPr="00F45600">
        <w:rPr>
          <w:color w:val="auto"/>
        </w:rPr>
        <w:t>% in area medica e +</w:t>
      </w:r>
      <w:r w:rsidR="006850DD">
        <w:rPr>
          <w:color w:val="auto"/>
        </w:rPr>
        <w:t>7</w:t>
      </w:r>
      <w:r w:rsidR="00F45600" w:rsidRPr="00F45600">
        <w:rPr>
          <w:color w:val="auto"/>
        </w:rPr>
        <w:t>,</w:t>
      </w:r>
      <w:r w:rsidR="006850DD">
        <w:rPr>
          <w:color w:val="auto"/>
        </w:rPr>
        <w:t>9</w:t>
      </w:r>
      <w:r w:rsidRPr="00F45600">
        <w:rPr>
          <w:color w:val="auto"/>
        </w:rPr>
        <w:t xml:space="preserve">% in terapia intensiva».  In termini assoluti, il numero di pazienti COVID in area medica è passato </w:t>
      </w:r>
      <w:r w:rsidR="006176B8" w:rsidRPr="00F45600">
        <w:rPr>
          <w:color w:val="auto"/>
        </w:rPr>
        <w:t>da</w:t>
      </w:r>
      <w:r w:rsidR="008D00D2">
        <w:rPr>
          <w:color w:val="auto"/>
        </w:rPr>
        <w:t xml:space="preserve"> </w:t>
      </w:r>
      <w:r w:rsidRPr="00F45600">
        <w:rPr>
          <w:color w:val="auto"/>
        </w:rPr>
        <w:t xml:space="preserve">1.088 del 16 luglio a </w:t>
      </w:r>
      <w:r w:rsidR="00F45600" w:rsidRPr="00F45600">
        <w:rPr>
          <w:color w:val="auto"/>
        </w:rPr>
        <w:t>4.</w:t>
      </w:r>
      <w:r w:rsidR="006850DD">
        <w:rPr>
          <w:color w:val="auto"/>
        </w:rPr>
        <w:t>252</w:t>
      </w:r>
      <w:r w:rsidRPr="00F45600">
        <w:rPr>
          <w:color w:val="auto"/>
        </w:rPr>
        <w:t xml:space="preserve"> del </w:t>
      </w:r>
      <w:r w:rsidR="006850DD">
        <w:rPr>
          <w:color w:val="auto"/>
        </w:rPr>
        <w:t>31</w:t>
      </w:r>
      <w:r w:rsidRPr="00F45600">
        <w:rPr>
          <w:color w:val="auto"/>
        </w:rPr>
        <w:t xml:space="preserve"> agosto</w:t>
      </w:r>
      <w:r w:rsidR="006850DD">
        <w:rPr>
          <w:color w:val="auto"/>
        </w:rPr>
        <w:t xml:space="preserve"> (+29</w:t>
      </w:r>
      <w:r w:rsidR="007B6DAF">
        <w:rPr>
          <w:color w:val="auto"/>
        </w:rPr>
        <w:t>1%)</w:t>
      </w:r>
      <w:r w:rsidRPr="00F45600">
        <w:rPr>
          <w:color w:val="auto"/>
        </w:rPr>
        <w:t xml:space="preserve"> e quello </w:t>
      </w:r>
      <w:r w:rsidR="000A08BA">
        <w:rPr>
          <w:color w:val="auto"/>
        </w:rPr>
        <w:t>nelle</w:t>
      </w:r>
      <w:r w:rsidR="000A08BA" w:rsidRPr="00F45600">
        <w:rPr>
          <w:color w:val="auto"/>
        </w:rPr>
        <w:t xml:space="preserve"> </w:t>
      </w:r>
      <w:r w:rsidRPr="00F45600">
        <w:rPr>
          <w:color w:val="auto"/>
        </w:rPr>
        <w:t xml:space="preserve">terapie intensive </w:t>
      </w:r>
      <w:r w:rsidR="008D00D2">
        <w:rPr>
          <w:color w:val="auto"/>
        </w:rPr>
        <w:t xml:space="preserve">da </w:t>
      </w:r>
      <w:r w:rsidRPr="00F45600">
        <w:rPr>
          <w:color w:val="auto"/>
        </w:rPr>
        <w:t>151 del 14 l</w:t>
      </w:r>
      <w:r w:rsidRPr="002B7A43">
        <w:rPr>
          <w:color w:val="auto"/>
        </w:rPr>
        <w:t xml:space="preserve">uglio a </w:t>
      </w:r>
      <w:r w:rsidR="006850DD">
        <w:rPr>
          <w:color w:val="auto"/>
        </w:rPr>
        <w:t>544</w:t>
      </w:r>
      <w:r w:rsidRPr="002B7A43">
        <w:rPr>
          <w:color w:val="auto"/>
        </w:rPr>
        <w:t xml:space="preserve"> del </w:t>
      </w:r>
      <w:r w:rsidR="006850DD">
        <w:rPr>
          <w:color w:val="auto"/>
        </w:rPr>
        <w:t>31</w:t>
      </w:r>
      <w:r w:rsidRPr="002B7A43">
        <w:rPr>
          <w:color w:val="auto"/>
        </w:rPr>
        <w:t xml:space="preserve"> agosto</w:t>
      </w:r>
      <w:r w:rsidR="007B6DAF">
        <w:rPr>
          <w:color w:val="auto"/>
        </w:rPr>
        <w:t xml:space="preserve"> (+</w:t>
      </w:r>
      <w:r w:rsidR="006850DD">
        <w:rPr>
          <w:color w:val="auto"/>
        </w:rPr>
        <w:t>260</w:t>
      </w:r>
      <w:r w:rsidR="007B6DAF">
        <w:rPr>
          <w:color w:val="auto"/>
        </w:rPr>
        <w:t>%)</w:t>
      </w:r>
      <w:r w:rsidR="00FD6AEE">
        <w:rPr>
          <w:color w:val="auto"/>
        </w:rPr>
        <w:t xml:space="preserve">. </w:t>
      </w:r>
      <w:r w:rsidR="00254744">
        <w:rPr>
          <w:color w:val="auto"/>
        </w:rPr>
        <w:t>A</w:t>
      </w:r>
      <w:r w:rsidR="006C2FDF">
        <w:rPr>
          <w:color w:val="auto"/>
        </w:rPr>
        <w:t xml:space="preserve"> livello </w:t>
      </w:r>
      <w:r w:rsidR="006C2FDF" w:rsidRPr="002B7A43">
        <w:rPr>
          <w:color w:val="auto"/>
        </w:rPr>
        <w:t xml:space="preserve">nazionale </w:t>
      </w:r>
      <w:r w:rsidR="00322C39">
        <w:rPr>
          <w:color w:val="auto"/>
        </w:rPr>
        <w:t xml:space="preserve">il </w:t>
      </w:r>
      <w:r w:rsidR="00FD6AEE">
        <w:rPr>
          <w:color w:val="auto"/>
        </w:rPr>
        <w:t>tasso di occupazione</w:t>
      </w:r>
      <w:r w:rsidR="00FD6AEE" w:rsidRPr="002B7A43">
        <w:rPr>
          <w:color w:val="auto"/>
        </w:rPr>
        <w:t xml:space="preserve"> </w:t>
      </w:r>
      <w:r w:rsidR="00322C39" w:rsidRPr="002B7A43">
        <w:rPr>
          <w:color w:val="auto"/>
        </w:rPr>
        <w:t>riman</w:t>
      </w:r>
      <w:r w:rsidR="00322C39">
        <w:rPr>
          <w:color w:val="auto"/>
        </w:rPr>
        <w:t>e</w:t>
      </w:r>
      <w:r w:rsidR="00322C39" w:rsidRPr="002B7A43">
        <w:rPr>
          <w:color w:val="auto"/>
        </w:rPr>
        <w:t xml:space="preserve"> bass</w:t>
      </w:r>
      <w:r w:rsidR="00322C39">
        <w:rPr>
          <w:color w:val="auto"/>
        </w:rPr>
        <w:t>o</w:t>
      </w:r>
      <w:r w:rsidR="00FD6AEE">
        <w:rPr>
          <w:color w:val="auto"/>
        </w:rPr>
        <w:t xml:space="preserve"> (</w:t>
      </w:r>
      <w:r w:rsidR="00F45600" w:rsidRPr="002B7A43">
        <w:rPr>
          <w:color w:val="auto"/>
        </w:rPr>
        <w:t>7</w:t>
      </w:r>
      <w:r w:rsidRPr="002B7A43">
        <w:rPr>
          <w:color w:val="auto"/>
        </w:rPr>
        <w:t xml:space="preserve">% in area medica e </w:t>
      </w:r>
      <w:r w:rsidR="00F45600" w:rsidRPr="002B7A43">
        <w:rPr>
          <w:color w:val="auto"/>
        </w:rPr>
        <w:t>6</w:t>
      </w:r>
      <w:r w:rsidRPr="002B7A43">
        <w:rPr>
          <w:color w:val="auto"/>
        </w:rPr>
        <w:t xml:space="preserve">% </w:t>
      </w:r>
      <w:r w:rsidR="00655A1E">
        <w:rPr>
          <w:color w:val="auto"/>
        </w:rPr>
        <w:t>in area critica</w:t>
      </w:r>
      <w:r w:rsidR="00FD6AEE">
        <w:rPr>
          <w:color w:val="auto"/>
        </w:rPr>
        <w:t xml:space="preserve">), </w:t>
      </w:r>
      <w:r w:rsidR="00254744">
        <w:rPr>
          <w:color w:val="auto"/>
        </w:rPr>
        <w:t xml:space="preserve">ma si rilevano notevoli </w:t>
      </w:r>
      <w:r w:rsidR="006850DD" w:rsidRPr="006850DD">
        <w:rPr>
          <w:color w:val="auto"/>
        </w:rPr>
        <w:t>differenze regional</w:t>
      </w:r>
      <w:r w:rsidR="00FD6AEE">
        <w:rPr>
          <w:color w:val="auto"/>
        </w:rPr>
        <w:t>i</w:t>
      </w:r>
      <w:r w:rsidR="006850DD" w:rsidRPr="006850DD">
        <w:rPr>
          <w:color w:val="auto"/>
        </w:rPr>
        <w:t>: per l’area medica si collocano sopra l</w:t>
      </w:r>
      <w:r w:rsidR="006850DD">
        <w:rPr>
          <w:color w:val="auto"/>
        </w:rPr>
        <w:t>a soglia del 15% Sicilia (23%) e Calabria (17%)</w:t>
      </w:r>
      <w:r w:rsidR="006850DD" w:rsidRPr="006850DD">
        <w:rPr>
          <w:color w:val="auto"/>
        </w:rPr>
        <w:t xml:space="preserve"> (</w:t>
      </w:r>
      <w:r w:rsidR="006850DD" w:rsidRPr="00391BD8">
        <w:rPr>
          <w:color w:val="auto"/>
          <w:highlight w:val="yellow"/>
        </w:rPr>
        <w:t>figura 5</w:t>
      </w:r>
      <w:r w:rsidR="006850DD" w:rsidRPr="006850DD">
        <w:rPr>
          <w:color w:val="auto"/>
        </w:rPr>
        <w:t>); per l’area critica sopra la soglia del 10% Sicilia (13%)</w:t>
      </w:r>
      <w:r w:rsidR="006850DD">
        <w:rPr>
          <w:color w:val="auto"/>
        </w:rPr>
        <w:t xml:space="preserve"> e </w:t>
      </w:r>
      <w:r w:rsidR="006850DD">
        <w:rPr>
          <w:color w:val="auto"/>
        </w:rPr>
        <w:lastRenderedPageBreak/>
        <w:t xml:space="preserve">Sardegna (13%) </w:t>
      </w:r>
      <w:r w:rsidR="006850DD" w:rsidRPr="006850DD">
        <w:rPr>
          <w:color w:val="auto"/>
        </w:rPr>
        <w:t>(</w:t>
      </w:r>
      <w:r w:rsidR="006850DD" w:rsidRPr="006850DD">
        <w:rPr>
          <w:color w:val="auto"/>
          <w:highlight w:val="yellow"/>
        </w:rPr>
        <w:t>figura 6</w:t>
      </w:r>
      <w:r w:rsidR="006850DD" w:rsidRPr="006850DD">
        <w:rPr>
          <w:color w:val="auto"/>
        </w:rPr>
        <w:t>).</w:t>
      </w:r>
      <w:r w:rsidR="006850DD">
        <w:rPr>
          <w:color w:val="auto"/>
        </w:rPr>
        <w:t xml:space="preserve"> </w:t>
      </w:r>
      <w:r w:rsidR="006850DD" w:rsidRPr="006850DD">
        <w:rPr>
          <w:color w:val="auto"/>
        </w:rPr>
        <w:t>«</w:t>
      </w:r>
      <w:r w:rsidR="00254744">
        <w:rPr>
          <w:color w:val="auto"/>
        </w:rPr>
        <w:t>Si registra un l</w:t>
      </w:r>
      <w:r w:rsidR="006850DD" w:rsidRPr="006850DD">
        <w:rPr>
          <w:color w:val="auto"/>
        </w:rPr>
        <w:t>ieve aumento degli ingressi giornalieri in terapia intensiva – spiega Marco Mosti, Direttore Operativo della Fondazione GIMBE – con una media mobile a 7 giorni di 43</w:t>
      </w:r>
      <w:r w:rsidR="006850DD">
        <w:rPr>
          <w:color w:val="auto"/>
        </w:rPr>
        <w:t xml:space="preserve"> </w:t>
      </w:r>
      <w:r w:rsidR="006850DD" w:rsidRPr="006850DD">
        <w:rPr>
          <w:color w:val="auto"/>
        </w:rPr>
        <w:t>ingressi/die rispetto ai 40 della settimana precedente» (</w:t>
      </w:r>
      <w:r w:rsidR="006850DD" w:rsidRPr="006850DD">
        <w:rPr>
          <w:color w:val="auto"/>
          <w:highlight w:val="yellow"/>
        </w:rPr>
        <w:t>figura 7</w:t>
      </w:r>
      <w:r w:rsidR="006850DD" w:rsidRPr="006850DD">
        <w:rPr>
          <w:color w:val="auto"/>
        </w:rPr>
        <w:t>)</w:t>
      </w:r>
      <w:r w:rsidR="006850DD">
        <w:rPr>
          <w:color w:val="auto"/>
        </w:rPr>
        <w:t>.</w:t>
      </w:r>
    </w:p>
    <w:p w:rsidR="00D325D0" w:rsidRPr="00A30AC5" w:rsidRDefault="00D325D0" w:rsidP="00D325D0">
      <w:pPr>
        <w:spacing w:line="276" w:lineRule="auto"/>
        <w:jc w:val="both"/>
        <w:rPr>
          <w:color w:val="auto"/>
        </w:rPr>
      </w:pPr>
      <w:r w:rsidRPr="000A72BA">
        <w:rPr>
          <w:b/>
          <w:bCs/>
          <w:color w:val="auto"/>
        </w:rPr>
        <w:t>Vaccini: forniture</w:t>
      </w:r>
      <w:r w:rsidRPr="000A72BA">
        <w:rPr>
          <w:color w:val="auto"/>
        </w:rPr>
        <w:t xml:space="preserve">. </w:t>
      </w:r>
      <w:r w:rsidR="004405AB" w:rsidRPr="004405AB">
        <w:rPr>
          <w:color w:val="auto"/>
        </w:rPr>
        <w:t xml:space="preserve">Al </w:t>
      </w:r>
      <w:r w:rsidR="00796514" w:rsidRPr="004405AB">
        <w:rPr>
          <w:color w:val="auto"/>
        </w:rPr>
        <w:t>1</w:t>
      </w:r>
      <w:r w:rsidR="00796514">
        <w:rPr>
          <w:color w:val="auto"/>
        </w:rPr>
        <w:t>° settembre</w:t>
      </w:r>
      <w:r w:rsidR="004405AB">
        <w:rPr>
          <w:color w:val="auto"/>
        </w:rPr>
        <w:t xml:space="preserve"> (aggiornamento ore 6.</w:t>
      </w:r>
      <w:r w:rsidR="004405AB" w:rsidRPr="004405AB">
        <w:rPr>
          <w:color w:val="auto"/>
        </w:rPr>
        <w:t>12) risultano consegnate 86.126.058 dosi.</w:t>
      </w:r>
      <w:r w:rsidRPr="003F38D5">
        <w:rPr>
          <w:color w:val="auto"/>
        </w:rPr>
        <w:t xml:space="preserve"> </w:t>
      </w:r>
      <w:r w:rsidR="00872CB5">
        <w:rPr>
          <w:color w:val="auto"/>
        </w:rPr>
        <w:t xml:space="preserve">Netto il </w:t>
      </w:r>
      <w:r w:rsidR="001533DC" w:rsidRPr="001533DC">
        <w:rPr>
          <w:color w:val="auto"/>
        </w:rPr>
        <w:t>cambio di passo</w:t>
      </w:r>
      <w:r w:rsidR="00872CB5">
        <w:rPr>
          <w:color w:val="auto"/>
        </w:rPr>
        <w:t xml:space="preserve"> sul fronte delle forniture</w:t>
      </w:r>
      <w:r w:rsidR="00CB5E57">
        <w:rPr>
          <w:color w:val="auto"/>
        </w:rPr>
        <w:t>:</w:t>
      </w:r>
      <w:r w:rsidR="00872CB5">
        <w:rPr>
          <w:color w:val="auto"/>
        </w:rPr>
        <w:t xml:space="preserve"> nelle ultime 4 settimane sfiorat</w:t>
      </w:r>
      <w:r w:rsidR="0094638F">
        <w:rPr>
          <w:color w:val="auto"/>
        </w:rPr>
        <w:t xml:space="preserve">a quota </w:t>
      </w:r>
      <w:r w:rsidR="00417326">
        <w:rPr>
          <w:color w:val="auto"/>
        </w:rPr>
        <w:t xml:space="preserve">15 milioni di dosi </w:t>
      </w:r>
      <w:r w:rsidR="00254744">
        <w:rPr>
          <w:color w:val="auto"/>
        </w:rPr>
        <w:t>a fronte di</w:t>
      </w:r>
      <w:r w:rsidR="0035087A">
        <w:rPr>
          <w:color w:val="auto"/>
        </w:rPr>
        <w:t xml:space="preserve"> </w:t>
      </w:r>
      <w:r w:rsidR="00417326">
        <w:rPr>
          <w:color w:val="auto"/>
        </w:rPr>
        <w:t>10</w:t>
      </w:r>
      <w:r w:rsidR="00EE1262">
        <w:rPr>
          <w:color w:val="auto"/>
        </w:rPr>
        <w:t>,1</w:t>
      </w:r>
      <w:r w:rsidR="00417326">
        <w:rPr>
          <w:color w:val="auto"/>
        </w:rPr>
        <w:t xml:space="preserve"> milioni delle 4 settimane precedenti</w:t>
      </w:r>
      <w:r w:rsidR="00417326" w:rsidRPr="003F38D5">
        <w:rPr>
          <w:color w:val="auto"/>
        </w:rPr>
        <w:t xml:space="preserve"> </w:t>
      </w:r>
      <w:r w:rsidRPr="003F38D5">
        <w:rPr>
          <w:color w:val="auto"/>
        </w:rPr>
        <w:t>(</w:t>
      </w:r>
      <w:r w:rsidRPr="003F38D5">
        <w:rPr>
          <w:color w:val="auto"/>
          <w:shd w:val="clear" w:color="auto" w:fill="FFFF00"/>
        </w:rPr>
        <w:t>figura 8</w:t>
      </w:r>
      <w:r w:rsidRPr="003F38D5">
        <w:rPr>
          <w:color w:val="auto"/>
        </w:rPr>
        <w:t>).</w:t>
      </w:r>
      <w:r>
        <w:rPr>
          <w:color w:val="auto"/>
        </w:rPr>
        <w:t xml:space="preserve"> </w:t>
      </w:r>
      <w:r w:rsidRPr="003F38D5">
        <w:rPr>
          <w:color w:val="auto"/>
        </w:rPr>
        <w:t>«</w:t>
      </w:r>
      <w:r w:rsidR="00254744">
        <w:rPr>
          <w:color w:val="auto"/>
        </w:rPr>
        <w:t>L</w:t>
      </w:r>
      <w:r w:rsidR="008A6C7F">
        <w:rPr>
          <w:color w:val="auto"/>
        </w:rPr>
        <w:t xml:space="preserve">e scorte </w:t>
      </w:r>
      <w:r w:rsidR="00BC0336">
        <w:rPr>
          <w:color w:val="auto"/>
        </w:rPr>
        <w:t>attualmente disponibili</w:t>
      </w:r>
      <w:r w:rsidR="0035087A">
        <w:rPr>
          <w:color w:val="auto"/>
        </w:rPr>
        <w:t xml:space="preserve"> </w:t>
      </w:r>
      <w:r w:rsidR="0035087A" w:rsidRPr="003F38D5">
        <w:rPr>
          <w:color w:val="auto"/>
        </w:rPr>
        <w:t>– spiega Marco Mosti –</w:t>
      </w:r>
      <w:r w:rsidR="00E54306">
        <w:rPr>
          <w:color w:val="auto"/>
        </w:rPr>
        <w:t xml:space="preserve"> </w:t>
      </w:r>
      <w:r w:rsidR="008A6C7F">
        <w:rPr>
          <w:color w:val="auto"/>
        </w:rPr>
        <w:t>ammontano ad</w:t>
      </w:r>
      <w:r w:rsidRPr="003F38D5">
        <w:rPr>
          <w:color w:val="auto"/>
        </w:rPr>
        <w:t xml:space="preserve"> oltre </w:t>
      </w:r>
      <w:r w:rsidR="004405AB">
        <w:rPr>
          <w:color w:val="auto"/>
        </w:rPr>
        <w:t>7</w:t>
      </w:r>
      <w:r w:rsidRPr="003F38D5">
        <w:rPr>
          <w:color w:val="auto"/>
        </w:rPr>
        <w:t>,</w:t>
      </w:r>
      <w:r w:rsidR="004405AB">
        <w:rPr>
          <w:color w:val="auto"/>
        </w:rPr>
        <w:t>8</w:t>
      </w:r>
      <w:r w:rsidRPr="003F38D5">
        <w:rPr>
          <w:color w:val="auto"/>
        </w:rPr>
        <w:t xml:space="preserve"> milioni di dosi di vaccini a mRNA</w:t>
      </w:r>
      <w:r w:rsidR="0035087A">
        <w:rPr>
          <w:color w:val="auto"/>
        </w:rPr>
        <w:t>,</w:t>
      </w:r>
      <w:r w:rsidRPr="003F38D5">
        <w:rPr>
          <w:color w:val="auto"/>
        </w:rPr>
        <w:t xml:space="preserve"> </w:t>
      </w:r>
      <w:r w:rsidR="00E54306" w:rsidRPr="00E54306">
        <w:rPr>
          <w:color w:val="auto"/>
        </w:rPr>
        <w:t>un numero ampiamente sufficiente ad accelerare la campagna vaccinale in questa fase che precede la riapertura delle scuole</w:t>
      </w:r>
      <w:r w:rsidRPr="002B7A43">
        <w:rPr>
          <w:color w:val="auto"/>
        </w:rPr>
        <w:t>».</w:t>
      </w:r>
    </w:p>
    <w:p w:rsidR="00A40F01" w:rsidRDefault="004405AB" w:rsidP="00A40F01">
      <w:pPr>
        <w:spacing w:line="276" w:lineRule="auto"/>
        <w:jc w:val="both"/>
      </w:pPr>
      <w:r w:rsidRPr="004405AB">
        <w:rPr>
          <w:b/>
          <w:color w:val="auto"/>
        </w:rPr>
        <w:t>Vaccini: somministrazioni.</w:t>
      </w:r>
      <w:r w:rsidRPr="004405AB">
        <w:rPr>
          <w:color w:val="auto"/>
        </w:rPr>
        <w:t xml:space="preserve"> Al </w:t>
      </w:r>
      <w:r w:rsidR="00796514" w:rsidRPr="004405AB">
        <w:rPr>
          <w:color w:val="auto"/>
        </w:rPr>
        <w:t>1° settembre</w:t>
      </w:r>
      <w:r w:rsidRPr="004405AB">
        <w:rPr>
          <w:color w:val="auto"/>
        </w:rPr>
        <w:t xml:space="preserve"> (aggiornamento ore 6</w:t>
      </w:r>
      <w:r>
        <w:rPr>
          <w:color w:val="auto"/>
        </w:rPr>
        <w:t>.</w:t>
      </w:r>
      <w:r w:rsidRPr="004405AB">
        <w:rPr>
          <w:color w:val="auto"/>
        </w:rPr>
        <w:t>12) il 71,9% della popolazione (n. 42.609.377) ha ricevuto almeno una dose di vaccino (+841.834 rispetto alla settimana precedente) e il 63,9% (n. 37.882.252) ha completato il ciclo vaccinale (+1.195.342) (</w:t>
      </w:r>
      <w:r w:rsidRPr="004405AB">
        <w:rPr>
          <w:color w:val="auto"/>
          <w:highlight w:val="yellow"/>
        </w:rPr>
        <w:t xml:space="preserve">figura </w:t>
      </w:r>
      <w:r>
        <w:rPr>
          <w:color w:val="auto"/>
          <w:highlight w:val="yellow"/>
        </w:rPr>
        <w:t>9</w:t>
      </w:r>
      <w:r w:rsidRPr="004405AB">
        <w:rPr>
          <w:color w:val="auto"/>
        </w:rPr>
        <w:t>). In aumento nell’ultima settimana il numero di somministrazioni (n. 1.832.949) (</w:t>
      </w:r>
      <w:r w:rsidRPr="004405AB">
        <w:rPr>
          <w:color w:val="auto"/>
          <w:highlight w:val="yellow"/>
        </w:rPr>
        <w:t xml:space="preserve">figura </w:t>
      </w:r>
      <w:r>
        <w:rPr>
          <w:color w:val="auto"/>
          <w:highlight w:val="yellow"/>
        </w:rPr>
        <w:t>10</w:t>
      </w:r>
      <w:r w:rsidR="005F14E1" w:rsidRPr="004405AB">
        <w:rPr>
          <w:color w:val="auto"/>
        </w:rPr>
        <w:t>)</w:t>
      </w:r>
      <w:r w:rsidR="005F14E1">
        <w:rPr>
          <w:color w:val="auto"/>
        </w:rPr>
        <w:t xml:space="preserve">, </w:t>
      </w:r>
      <w:r w:rsidR="00254744">
        <w:rPr>
          <w:color w:val="auto"/>
        </w:rPr>
        <w:t xml:space="preserve">con una </w:t>
      </w:r>
      <w:r w:rsidR="005E26E5">
        <w:t>media mobile a 7 giorni</w:t>
      </w:r>
      <w:r w:rsidR="00254744">
        <w:t xml:space="preserve"> che</w:t>
      </w:r>
      <w:r w:rsidR="005E26E5">
        <w:t>, d</w:t>
      </w:r>
      <w:r w:rsidR="0044051F">
        <w:t xml:space="preserve">opo il crollo </w:t>
      </w:r>
      <w:r w:rsidR="00460D0D">
        <w:t>da</w:t>
      </w:r>
      <w:r w:rsidR="005E26E5">
        <w:t xml:space="preserve"> ol</w:t>
      </w:r>
      <w:r w:rsidR="00460D0D">
        <w:t xml:space="preserve">tre 592 mila del 28 luglio a </w:t>
      </w:r>
      <w:r w:rsidR="005E26E5">
        <w:t xml:space="preserve">circa 199 mila del 20 agosto, </w:t>
      </w:r>
      <w:r w:rsidR="0044051F">
        <w:t xml:space="preserve">ha ripreso a salire </w:t>
      </w:r>
      <w:r w:rsidR="005E26E5">
        <w:t xml:space="preserve">raggiungendo </w:t>
      </w:r>
      <w:r w:rsidR="005C6FBE">
        <w:t xml:space="preserve">quota </w:t>
      </w:r>
      <w:r w:rsidR="004D562D">
        <w:t xml:space="preserve">270 </w:t>
      </w:r>
      <w:r w:rsidR="002B20E2">
        <w:t xml:space="preserve">mila il </w:t>
      </w:r>
      <w:r w:rsidR="004D562D">
        <w:t>31</w:t>
      </w:r>
      <w:r w:rsidR="002B20E2">
        <w:t xml:space="preserve"> agosto</w:t>
      </w:r>
      <w:r w:rsidR="007F4E31">
        <w:t xml:space="preserve"> </w:t>
      </w:r>
      <w:r w:rsidR="007F4E31" w:rsidRPr="004405AB">
        <w:rPr>
          <w:color w:val="auto"/>
        </w:rPr>
        <w:t>(</w:t>
      </w:r>
      <w:r w:rsidR="007F4E31" w:rsidRPr="004405AB">
        <w:rPr>
          <w:color w:val="auto"/>
          <w:highlight w:val="yellow"/>
        </w:rPr>
        <w:t>figura 1</w:t>
      </w:r>
      <w:r w:rsidR="007F4E31">
        <w:rPr>
          <w:color w:val="auto"/>
          <w:highlight w:val="yellow"/>
        </w:rPr>
        <w:t>1</w:t>
      </w:r>
      <w:r w:rsidR="007F4E31" w:rsidRPr="004405AB">
        <w:rPr>
          <w:color w:val="auto"/>
        </w:rPr>
        <w:t>)</w:t>
      </w:r>
      <w:r w:rsidR="0044051F">
        <w:t xml:space="preserve">. </w:t>
      </w:r>
      <w:r w:rsidR="0044051F" w:rsidRPr="003F38D5">
        <w:rPr>
          <w:color w:val="auto"/>
        </w:rPr>
        <w:t>«</w:t>
      </w:r>
      <w:r w:rsidR="005F14E1" w:rsidRPr="009B7CBC">
        <w:rPr>
          <w:color w:val="auto"/>
        </w:rPr>
        <w:t xml:space="preserve">Nonostante </w:t>
      </w:r>
      <w:r w:rsidR="00460D0D">
        <w:rPr>
          <w:color w:val="auto"/>
        </w:rPr>
        <w:t>la ripresa del ritmo</w:t>
      </w:r>
      <w:r w:rsidR="00391D3F" w:rsidRPr="00391D3F">
        <w:rPr>
          <w:color w:val="auto"/>
        </w:rPr>
        <w:t xml:space="preserve"> </w:t>
      </w:r>
      <w:r w:rsidR="00391BD8">
        <w:rPr>
          <w:color w:val="auto"/>
        </w:rPr>
        <w:t xml:space="preserve">delle somministrazioni </w:t>
      </w:r>
      <w:r w:rsidR="005F14E1" w:rsidRPr="003F38D5">
        <w:rPr>
          <w:color w:val="auto"/>
        </w:rPr>
        <w:t>–</w:t>
      </w:r>
      <w:r w:rsidR="005F14E1">
        <w:rPr>
          <w:color w:val="auto"/>
        </w:rPr>
        <w:t xml:space="preserve"> commenta Cartabellotta </w:t>
      </w:r>
      <w:r w:rsidR="005F14E1" w:rsidRPr="003F38D5">
        <w:rPr>
          <w:color w:val="auto"/>
        </w:rPr>
        <w:t>–</w:t>
      </w:r>
      <w:r w:rsidR="005F14E1">
        <w:rPr>
          <w:color w:val="auto"/>
        </w:rPr>
        <w:t xml:space="preserve"> </w:t>
      </w:r>
      <w:r w:rsidR="00460D0D">
        <w:rPr>
          <w:color w:val="auto"/>
        </w:rPr>
        <w:t xml:space="preserve">il numero di </w:t>
      </w:r>
      <w:r w:rsidR="00127892">
        <w:rPr>
          <w:color w:val="auto"/>
        </w:rPr>
        <w:t xml:space="preserve">prime dosi sul totale </w:t>
      </w:r>
      <w:r w:rsidR="00391BD8">
        <w:rPr>
          <w:color w:val="auto"/>
        </w:rPr>
        <w:t xml:space="preserve">si attesta intorno al </w:t>
      </w:r>
      <w:r w:rsidR="00127892">
        <w:rPr>
          <w:color w:val="auto"/>
        </w:rPr>
        <w:t>40</w:t>
      </w:r>
      <w:r w:rsidR="00FE50E9">
        <w:rPr>
          <w:color w:val="auto"/>
        </w:rPr>
        <w:t>%: i</w:t>
      </w:r>
      <w:r w:rsidR="00E075CE">
        <w:rPr>
          <w:color w:val="auto"/>
        </w:rPr>
        <w:t xml:space="preserve">mpossibile </w:t>
      </w:r>
      <w:r w:rsidR="00672C34">
        <w:rPr>
          <w:color w:val="auto"/>
        </w:rPr>
        <w:t>stimare</w:t>
      </w:r>
      <w:r w:rsidR="00E075CE" w:rsidRPr="00E075CE">
        <w:rPr>
          <w:color w:val="auto"/>
        </w:rPr>
        <w:t xml:space="preserve"> se e in che misura questo numero sia destinato a</w:t>
      </w:r>
      <w:r w:rsidR="00672C34">
        <w:rPr>
          <w:color w:val="auto"/>
        </w:rPr>
        <w:t xml:space="preserve"> </w:t>
      </w:r>
      <w:r w:rsidR="005F14E1">
        <w:rPr>
          <w:color w:val="auto"/>
        </w:rPr>
        <w:t xml:space="preserve">salire </w:t>
      </w:r>
      <w:r w:rsidR="00E075CE">
        <w:rPr>
          <w:color w:val="auto"/>
        </w:rPr>
        <w:t xml:space="preserve">vista </w:t>
      </w:r>
      <w:r w:rsidR="00672C34">
        <w:rPr>
          <w:color w:val="auto"/>
        </w:rPr>
        <w:t xml:space="preserve">l’indisponibilità di </w:t>
      </w:r>
      <w:r w:rsidR="00E075CE" w:rsidRPr="00E075CE">
        <w:rPr>
          <w:color w:val="auto"/>
        </w:rPr>
        <w:t xml:space="preserve">dati pubblici sulle prenotazioni </w:t>
      </w:r>
      <w:r w:rsidR="00753E57" w:rsidRPr="00753E57">
        <w:rPr>
          <w:color w:val="auto"/>
        </w:rPr>
        <w:t xml:space="preserve">contrariamente a quanto previsto dalla </w:t>
      </w:r>
      <w:r w:rsidR="00F106B7">
        <w:rPr>
          <w:color w:val="auto"/>
        </w:rPr>
        <w:t>normativa</w:t>
      </w:r>
      <w:r w:rsidR="00A40F01">
        <w:t xml:space="preserve">». </w:t>
      </w:r>
    </w:p>
    <w:p w:rsidR="00F122C0" w:rsidRPr="006D60A3" w:rsidRDefault="00F122C0" w:rsidP="00F122C0">
      <w:pPr>
        <w:spacing w:after="0" w:line="276" w:lineRule="auto"/>
        <w:jc w:val="both"/>
        <w:rPr>
          <w:color w:val="auto"/>
          <w:u w:color="FF0000"/>
        </w:rPr>
      </w:pPr>
      <w:r w:rsidRPr="00F122C0">
        <w:rPr>
          <w:b/>
          <w:color w:val="auto"/>
          <w:u w:color="FF0000"/>
        </w:rPr>
        <w:t>Vaccini: copertura degli over 50.</w:t>
      </w:r>
      <w:r w:rsidRPr="00F122C0">
        <w:rPr>
          <w:color w:val="auto"/>
          <w:u w:color="FF0000"/>
        </w:rPr>
        <w:t xml:space="preserve"> L’87,8% della popolazione over 50 ha ricevuto almeno la prima dose di vaccino, con un incremento settimanale nazionale </w:t>
      </w:r>
      <w:r w:rsidR="003461BD" w:rsidRPr="00F122C0">
        <w:rPr>
          <w:color w:val="auto"/>
          <w:u w:color="FF0000"/>
        </w:rPr>
        <w:t xml:space="preserve">irrisorio </w:t>
      </w:r>
      <w:r w:rsidRPr="00F122C0">
        <w:rPr>
          <w:color w:val="auto"/>
          <w:u w:color="FF0000"/>
        </w:rPr>
        <w:t>(+0,7%) e nette differenze regionali: dal 92,4% della Puglia al 81,4% della Sicilia. In dettaglio:</w:t>
      </w:r>
    </w:p>
    <w:p w:rsidR="00F122C0" w:rsidRPr="00F122C0" w:rsidRDefault="00F122C0" w:rsidP="00F122C0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</w:rPr>
      </w:pPr>
      <w:r w:rsidRPr="00F122C0">
        <w:rPr>
          <w:b/>
          <w:color w:val="auto"/>
        </w:rPr>
        <w:t>Over 80:</w:t>
      </w:r>
      <w:r w:rsidRPr="00F122C0">
        <w:rPr>
          <w:color w:val="auto"/>
        </w:rPr>
        <w:t xml:space="preserve"> degli oltre 4,4 milioni, 4.183.962 (93,4%) hanno completato il ciclo vaccinale e 106.032 (2,4%) hanno ricevuto solo la prima dose.</w:t>
      </w:r>
    </w:p>
    <w:p w:rsidR="00F122C0" w:rsidRPr="00F122C0" w:rsidRDefault="00F122C0" w:rsidP="00F122C0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</w:rPr>
      </w:pPr>
      <w:r w:rsidRPr="00F122C0">
        <w:rPr>
          <w:b/>
          <w:color w:val="auto"/>
        </w:rPr>
        <w:t>Fascia 70-79 anni:</w:t>
      </w:r>
      <w:r w:rsidRPr="00F122C0">
        <w:rPr>
          <w:color w:val="auto"/>
        </w:rPr>
        <w:t xml:space="preserve"> degli oltre 5,9 milioni, 5.298.860 (88,8%) hanno completato il ciclo vaccinale e 145.165 (2,4%) hanno ricevuto solo la prima dose.</w:t>
      </w:r>
    </w:p>
    <w:p w:rsidR="00F122C0" w:rsidRPr="00F122C0" w:rsidRDefault="00F122C0" w:rsidP="00F122C0">
      <w:pPr>
        <w:pStyle w:val="Paragrafoelenco"/>
        <w:numPr>
          <w:ilvl w:val="0"/>
          <w:numId w:val="4"/>
        </w:numPr>
        <w:spacing w:after="0" w:line="276" w:lineRule="auto"/>
        <w:jc w:val="both"/>
        <w:rPr>
          <w:color w:val="auto"/>
        </w:rPr>
      </w:pPr>
      <w:r w:rsidRPr="00F122C0">
        <w:rPr>
          <w:b/>
          <w:color w:val="auto"/>
        </w:rPr>
        <w:t>Fascia 60-69 anni:</w:t>
      </w:r>
      <w:r w:rsidRPr="00F122C0">
        <w:rPr>
          <w:color w:val="auto"/>
        </w:rPr>
        <w:t xml:space="preserve"> degli oltre 7,3 milioni, 6.262.871 (84,2%) hanno completato il ciclo vaccinale e 250.541 (3,4%) hanno ricevuto solo la prima dose.</w:t>
      </w:r>
    </w:p>
    <w:p w:rsidR="00F122C0" w:rsidRDefault="00F122C0" w:rsidP="00F122C0">
      <w:pPr>
        <w:pStyle w:val="Paragrafoelenco"/>
        <w:numPr>
          <w:ilvl w:val="0"/>
          <w:numId w:val="4"/>
        </w:numPr>
        <w:spacing w:line="276" w:lineRule="auto"/>
        <w:ind w:left="357" w:hanging="357"/>
        <w:jc w:val="both"/>
        <w:rPr>
          <w:color w:val="auto"/>
        </w:rPr>
      </w:pPr>
      <w:r w:rsidRPr="00F122C0">
        <w:rPr>
          <w:b/>
          <w:color w:val="auto"/>
        </w:rPr>
        <w:t>Fascia 50-59 anni:</w:t>
      </w:r>
      <w:r w:rsidRPr="00F122C0">
        <w:rPr>
          <w:color w:val="auto"/>
        </w:rPr>
        <w:t xml:space="preserve"> degli oltre 9,4 milioni, 7.239.376 (76,5%) hanno completato il ciclo vaccinale e 529.748 (5,6%) hanno ricevuto solo la prima dose.</w:t>
      </w:r>
    </w:p>
    <w:p w:rsidR="003461BD" w:rsidRDefault="00F122C0" w:rsidP="00F122C0">
      <w:pPr>
        <w:spacing w:line="276" w:lineRule="auto"/>
        <w:jc w:val="both"/>
        <w:rPr>
          <w:color w:val="auto"/>
        </w:rPr>
      </w:pPr>
      <w:r w:rsidRPr="00F122C0">
        <w:rPr>
          <w:color w:val="auto"/>
        </w:rPr>
        <w:t>Complessivamente</w:t>
      </w:r>
      <w:r w:rsidR="003461BD">
        <w:rPr>
          <w:color w:val="auto"/>
        </w:rPr>
        <w:t xml:space="preserve"> sono </w:t>
      </w:r>
      <w:r w:rsidRPr="00F122C0">
        <w:rPr>
          <w:color w:val="auto"/>
        </w:rPr>
        <w:t xml:space="preserve">4,4 milioni </w:t>
      </w:r>
      <w:r w:rsidR="003461BD">
        <w:rPr>
          <w:color w:val="auto"/>
        </w:rPr>
        <w:t>gli</w:t>
      </w:r>
      <w:r w:rsidR="003461BD" w:rsidRPr="00F122C0">
        <w:rPr>
          <w:color w:val="auto"/>
        </w:rPr>
        <w:t xml:space="preserve"> </w:t>
      </w:r>
      <w:r w:rsidRPr="00F122C0">
        <w:rPr>
          <w:color w:val="auto"/>
        </w:rPr>
        <w:t xml:space="preserve">over 50 </w:t>
      </w:r>
      <w:r w:rsidR="003461BD">
        <w:rPr>
          <w:color w:val="auto"/>
        </w:rPr>
        <w:t>parzialmente o totalmente privi di copertura vaccinale</w:t>
      </w:r>
      <w:r w:rsidRPr="00F122C0">
        <w:rPr>
          <w:color w:val="auto"/>
        </w:rPr>
        <w:t xml:space="preserve"> (</w:t>
      </w:r>
      <w:r w:rsidRPr="00F122C0">
        <w:rPr>
          <w:color w:val="auto"/>
          <w:highlight w:val="yellow"/>
        </w:rPr>
        <w:t>figura 1</w:t>
      </w:r>
      <w:r w:rsidR="00127892">
        <w:rPr>
          <w:color w:val="auto"/>
          <w:highlight w:val="yellow"/>
        </w:rPr>
        <w:t>2</w:t>
      </w:r>
      <w:r w:rsidRPr="00F122C0">
        <w:rPr>
          <w:color w:val="auto"/>
        </w:rPr>
        <w:t>), di cui 3,3</w:t>
      </w:r>
      <w:r>
        <w:rPr>
          <w:color w:val="auto"/>
        </w:rPr>
        <w:t>4</w:t>
      </w:r>
      <w:r w:rsidRPr="00F122C0">
        <w:rPr>
          <w:color w:val="auto"/>
        </w:rPr>
        <w:t xml:space="preserve"> milioni</w:t>
      </w:r>
      <w:r w:rsidR="00B635A4">
        <w:rPr>
          <w:color w:val="auto"/>
        </w:rPr>
        <w:t xml:space="preserve"> (12,2%)</w:t>
      </w:r>
      <w:r w:rsidRPr="00F122C0">
        <w:rPr>
          <w:color w:val="auto"/>
        </w:rPr>
        <w:t xml:space="preserve"> non hanno ancora ricevuto nemmeno una dose, con rilevanti differenze regionali</w:t>
      </w:r>
      <w:r w:rsidR="00672C34">
        <w:rPr>
          <w:color w:val="auto"/>
        </w:rPr>
        <w:t xml:space="preserve">: </w:t>
      </w:r>
      <w:r w:rsidRPr="00F122C0">
        <w:rPr>
          <w:color w:val="auto"/>
        </w:rPr>
        <w:t>dal 18,6% del</w:t>
      </w:r>
      <w:r w:rsidR="00672C34">
        <w:rPr>
          <w:color w:val="auto"/>
        </w:rPr>
        <w:t>la Sicilia al 7,6% della Puglia</w:t>
      </w:r>
      <w:r w:rsidRPr="00F122C0">
        <w:rPr>
          <w:color w:val="auto"/>
        </w:rPr>
        <w:t xml:space="preserve"> (</w:t>
      </w:r>
      <w:r w:rsidRPr="00F122C0">
        <w:rPr>
          <w:color w:val="auto"/>
          <w:highlight w:val="yellow"/>
        </w:rPr>
        <w:t>figura 1</w:t>
      </w:r>
      <w:r w:rsidR="00127892">
        <w:rPr>
          <w:color w:val="auto"/>
          <w:highlight w:val="yellow"/>
        </w:rPr>
        <w:t>3</w:t>
      </w:r>
      <w:r w:rsidRPr="00F122C0">
        <w:rPr>
          <w:color w:val="auto"/>
        </w:rPr>
        <w:t>).</w:t>
      </w:r>
      <w:r>
        <w:rPr>
          <w:color w:val="auto"/>
        </w:rPr>
        <w:t xml:space="preserve"> </w:t>
      </w:r>
    </w:p>
    <w:p w:rsidR="00F122C0" w:rsidRDefault="003461BD" w:rsidP="00F122C0">
      <w:pPr>
        <w:spacing w:line="276" w:lineRule="auto"/>
        <w:jc w:val="both"/>
        <w:rPr>
          <w:color w:val="auto"/>
        </w:rPr>
      </w:pPr>
      <w:r>
        <w:rPr>
          <w:color w:val="auto"/>
        </w:rPr>
        <w:t xml:space="preserve">A fronte di un </w:t>
      </w:r>
      <w:r w:rsidR="00F122C0" w:rsidRPr="00F122C0">
        <w:rPr>
          <w:color w:val="auto"/>
        </w:rPr>
        <w:t xml:space="preserve">sostanziale appiattimento dei trend di vaccinazione in queste fasce d’età, salgono tutte le curve degli under </w:t>
      </w:r>
      <w:r w:rsidR="00EE1262">
        <w:rPr>
          <w:color w:val="auto"/>
        </w:rPr>
        <w:t>50</w:t>
      </w:r>
      <w:r w:rsidR="00583951">
        <w:rPr>
          <w:color w:val="auto"/>
        </w:rPr>
        <w:t xml:space="preserve">: </w:t>
      </w:r>
      <w:r w:rsidR="0049549E">
        <w:rPr>
          <w:color w:val="auto"/>
        </w:rPr>
        <w:t xml:space="preserve">in particolare </w:t>
      </w:r>
      <w:r w:rsidR="00672C34">
        <w:rPr>
          <w:color w:val="auto"/>
        </w:rPr>
        <w:t>s’</w:t>
      </w:r>
      <w:r w:rsidR="00583951">
        <w:rPr>
          <w:color w:val="auto"/>
        </w:rPr>
        <w:t xml:space="preserve">impenna </w:t>
      </w:r>
      <w:r w:rsidR="0049549E">
        <w:rPr>
          <w:color w:val="auto"/>
        </w:rPr>
        <w:t xml:space="preserve">la fascia 12-19 e quella 20-29 </w:t>
      </w:r>
      <w:r w:rsidR="00672C34">
        <w:rPr>
          <w:color w:val="auto"/>
        </w:rPr>
        <w:t>supera</w:t>
      </w:r>
      <w:r w:rsidR="0049549E">
        <w:rPr>
          <w:color w:val="auto"/>
        </w:rPr>
        <w:t xml:space="preserve"> le percentuali di copertura delle fasce anagrafiche 3</w:t>
      </w:r>
      <w:r w:rsidR="00F304F2">
        <w:rPr>
          <w:color w:val="auto"/>
        </w:rPr>
        <w:t xml:space="preserve">0-39 e 40-49 </w:t>
      </w:r>
      <w:r w:rsidR="00F122C0" w:rsidRPr="00F122C0">
        <w:rPr>
          <w:color w:val="auto"/>
        </w:rPr>
        <w:t>(</w:t>
      </w:r>
      <w:r w:rsidR="00F122C0" w:rsidRPr="00F122C0">
        <w:rPr>
          <w:color w:val="auto"/>
          <w:shd w:val="clear" w:color="auto" w:fill="FFFF00"/>
        </w:rPr>
        <w:t>figura 1</w:t>
      </w:r>
      <w:r w:rsidR="00127892">
        <w:rPr>
          <w:color w:val="auto"/>
          <w:shd w:val="clear" w:color="auto" w:fill="FFFF00"/>
        </w:rPr>
        <w:t>4</w:t>
      </w:r>
      <w:r w:rsidR="00F304F2">
        <w:rPr>
          <w:color w:val="auto"/>
          <w:shd w:val="clear" w:color="auto" w:fill="FFFF00"/>
        </w:rPr>
        <w:t>.</w:t>
      </w:r>
      <w:r w:rsidR="00F304F2">
        <w:rPr>
          <w:color w:val="auto"/>
        </w:rPr>
        <w:t>)</w:t>
      </w:r>
      <w:r w:rsidR="00F122C0" w:rsidRPr="00F122C0">
        <w:rPr>
          <w:color w:val="auto"/>
        </w:rPr>
        <w:t xml:space="preserve"> </w:t>
      </w:r>
      <w:r w:rsidR="00127892">
        <w:rPr>
          <w:color w:val="auto"/>
        </w:rPr>
        <w:t xml:space="preserve">La </w:t>
      </w:r>
      <w:r w:rsidR="00127892" w:rsidRPr="00F304F2">
        <w:rPr>
          <w:color w:val="auto"/>
          <w:highlight w:val="yellow"/>
        </w:rPr>
        <w:t>figura 15</w:t>
      </w:r>
      <w:r w:rsidR="00127892">
        <w:rPr>
          <w:color w:val="auto"/>
        </w:rPr>
        <w:t xml:space="preserve"> illustra le coperture vaccinali per fascia di età</w:t>
      </w:r>
      <w:r w:rsidR="00F122C0" w:rsidRPr="00F122C0">
        <w:rPr>
          <w:color w:val="auto"/>
        </w:rPr>
        <w:t>.</w:t>
      </w:r>
    </w:p>
    <w:p w:rsidR="00491484" w:rsidRPr="00E075CE" w:rsidRDefault="00460D0D" w:rsidP="00491484">
      <w:pPr>
        <w:spacing w:line="276" w:lineRule="auto"/>
        <w:jc w:val="both"/>
        <w:rPr>
          <w:color w:val="auto"/>
        </w:rPr>
      </w:pPr>
      <w:r w:rsidRPr="00373B5A">
        <w:rPr>
          <w:b/>
        </w:rPr>
        <w:t>Efficacia vaccini</w:t>
      </w:r>
      <w:r>
        <w:t xml:space="preserve">. </w:t>
      </w:r>
      <w:r w:rsidR="00491484" w:rsidRPr="003F38D5">
        <w:rPr>
          <w:color w:val="auto"/>
        </w:rPr>
        <w:t>«</w:t>
      </w:r>
      <w:r w:rsidR="00491484">
        <w:rPr>
          <w:color w:val="auto"/>
        </w:rPr>
        <w:t xml:space="preserve">Considerato che </w:t>
      </w:r>
      <w:r w:rsidR="00CF2721">
        <w:rPr>
          <w:color w:val="auto"/>
        </w:rPr>
        <w:t xml:space="preserve">la </w:t>
      </w:r>
      <w:r w:rsidR="00491484">
        <w:rPr>
          <w:color w:val="auto"/>
        </w:rPr>
        <w:t xml:space="preserve">“scadenza” </w:t>
      </w:r>
      <w:r w:rsidR="00526D94">
        <w:rPr>
          <w:color w:val="auto"/>
        </w:rPr>
        <w:t xml:space="preserve">del </w:t>
      </w:r>
      <w:r w:rsidR="00491484">
        <w:rPr>
          <w:color w:val="auto"/>
        </w:rPr>
        <w:t>green pass per le persone vaccinate all’inizio dell’anno ha innescato il dibattito sull’opportunità d</w:t>
      </w:r>
      <w:r w:rsidR="00F106B7">
        <w:rPr>
          <w:color w:val="auto"/>
        </w:rPr>
        <w:t xml:space="preserve">ella </w:t>
      </w:r>
      <w:r w:rsidR="00491484">
        <w:rPr>
          <w:color w:val="auto"/>
        </w:rPr>
        <w:t>terza dose</w:t>
      </w:r>
      <w:r w:rsidR="005C6FBE">
        <w:rPr>
          <w:color w:val="auto"/>
        </w:rPr>
        <w:t xml:space="preserve"> </w:t>
      </w:r>
      <w:r w:rsidR="005C6FBE" w:rsidRPr="003F38D5">
        <w:rPr>
          <w:color w:val="auto"/>
        </w:rPr>
        <w:t xml:space="preserve">– </w:t>
      </w:r>
      <w:r w:rsidR="005C6FBE">
        <w:rPr>
          <w:color w:val="auto"/>
        </w:rPr>
        <w:t xml:space="preserve">commenta Cartabellotta </w:t>
      </w:r>
      <w:r w:rsidR="005C6FBE" w:rsidRPr="003F38D5">
        <w:rPr>
          <w:color w:val="auto"/>
        </w:rPr>
        <w:t>–</w:t>
      </w:r>
      <w:r w:rsidR="00491484">
        <w:rPr>
          <w:color w:val="auto"/>
        </w:rPr>
        <w:t xml:space="preserve"> la Fondazione GIMBE </w:t>
      </w:r>
      <w:r w:rsidR="00A00F54">
        <w:rPr>
          <w:color w:val="auto"/>
        </w:rPr>
        <w:t>ha analizzato</w:t>
      </w:r>
      <w:r w:rsidR="00A94175">
        <w:rPr>
          <w:color w:val="auto"/>
        </w:rPr>
        <w:t xml:space="preserve"> </w:t>
      </w:r>
      <w:r w:rsidR="00491484">
        <w:rPr>
          <w:color w:val="auto"/>
        </w:rPr>
        <w:t xml:space="preserve">l’efficacia vaccinale e </w:t>
      </w:r>
      <w:r w:rsidR="00A00F54">
        <w:rPr>
          <w:color w:val="auto"/>
        </w:rPr>
        <w:t xml:space="preserve">la </w:t>
      </w:r>
      <w:r w:rsidR="00A94175">
        <w:rPr>
          <w:color w:val="auto"/>
        </w:rPr>
        <w:t xml:space="preserve">durata della copertura sulla base dei dati </w:t>
      </w:r>
      <w:r w:rsidR="00E075CE">
        <w:rPr>
          <w:color w:val="auto"/>
        </w:rPr>
        <w:t xml:space="preserve">resi disponibili </w:t>
      </w:r>
      <w:r w:rsidR="00E075CE">
        <w:t>dall’Istituto Superiore di Sanità</w:t>
      </w:r>
      <w:r w:rsidR="00312D49">
        <w:t xml:space="preserve"> (ISS)</w:t>
      </w:r>
      <w:r w:rsidR="00491484">
        <w:t xml:space="preserve">». </w:t>
      </w:r>
    </w:p>
    <w:p w:rsidR="00E075CE" w:rsidRDefault="00460D0D" w:rsidP="001144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</w:pPr>
      <w:r>
        <w:t xml:space="preserve">L’efficacia del vaccino </w:t>
      </w:r>
      <w:r w:rsidR="00A94175">
        <w:t>da aprile ad oggi</w:t>
      </w:r>
      <w:r>
        <w:t xml:space="preserve"> rimane stabile e superiore al </w:t>
      </w:r>
      <w:r w:rsidR="00CC75F9">
        <w:t>94</w:t>
      </w:r>
      <w:r>
        <w:t xml:space="preserve">% nel ridurre </w:t>
      </w:r>
      <w:r w:rsidR="00A00F54">
        <w:t>i decessi</w:t>
      </w:r>
      <w:r w:rsidR="00A00F54" w:rsidRPr="009B606E">
        <w:t xml:space="preserve"> </w:t>
      </w:r>
      <w:r w:rsidR="00A00F54">
        <w:t xml:space="preserve">e </w:t>
      </w:r>
      <w:r w:rsidRPr="009B606E">
        <w:t>le forme severe di malattia che richiedono ospedalizzazione e ricovero in terapia intensiva</w:t>
      </w:r>
      <w:r>
        <w:t xml:space="preserve">. Per quanto riguarda </w:t>
      </w:r>
      <w:r w:rsidRPr="009B606E">
        <w:t xml:space="preserve">le diagnosi di SARS-CoV-2, </w:t>
      </w:r>
      <w:r>
        <w:t>l’efficacia si riduce dall’</w:t>
      </w:r>
      <w:r w:rsidRPr="009B606E">
        <w:t>88</w:t>
      </w:r>
      <w:r w:rsidR="00CC75F9">
        <w:t>,5</w:t>
      </w:r>
      <w:r w:rsidRPr="009B606E">
        <w:t xml:space="preserve">% </w:t>
      </w:r>
      <w:r w:rsidR="00986C25">
        <w:t>(</w:t>
      </w:r>
      <w:r w:rsidR="00EE1262">
        <w:t>periodo 4 aprile-</w:t>
      </w:r>
      <w:r w:rsidRPr="009B606E">
        <w:t>11 luglio</w:t>
      </w:r>
      <w:r w:rsidR="00986C25">
        <w:t>)</w:t>
      </w:r>
      <w:r w:rsidRPr="009B606E">
        <w:t xml:space="preserve"> </w:t>
      </w:r>
      <w:r w:rsidR="00A94175">
        <w:t>al</w:t>
      </w:r>
      <w:r w:rsidRPr="009B606E">
        <w:t xml:space="preserve"> 79</w:t>
      </w:r>
      <w:r w:rsidR="00CC75F9">
        <w:t>,7</w:t>
      </w:r>
      <w:r w:rsidRPr="009B606E">
        <w:t xml:space="preserve">% </w:t>
      </w:r>
      <w:r w:rsidR="00986C25">
        <w:t>(</w:t>
      </w:r>
      <w:r w:rsidR="00EE1262">
        <w:t>periodo 4 aprile-</w:t>
      </w:r>
      <w:r w:rsidRPr="009B606E">
        <w:t>22 agosto</w:t>
      </w:r>
      <w:r w:rsidR="00986C25">
        <w:t>)</w:t>
      </w:r>
      <w:r w:rsidR="00E075CE">
        <w:t>. I</w:t>
      </w:r>
      <w:r w:rsidR="00A94175">
        <w:t xml:space="preserve">n altri termini </w:t>
      </w:r>
      <w:r w:rsidR="00986C25">
        <w:t xml:space="preserve">si rileva </w:t>
      </w:r>
      <w:r w:rsidR="00126938">
        <w:t>una progressiva riduzione del</w:t>
      </w:r>
      <w:r w:rsidR="00E075CE">
        <w:t xml:space="preserve">l’efficacia </w:t>
      </w:r>
      <w:r w:rsidR="00126938">
        <w:t xml:space="preserve">delle coperture vaccinali </w:t>
      </w:r>
      <w:r w:rsidRPr="009B606E">
        <w:t>nei confronti d</w:t>
      </w:r>
      <w:r w:rsidR="00986C25">
        <w:t xml:space="preserve">i </w:t>
      </w:r>
      <w:r w:rsidRPr="009B606E">
        <w:t>infezioni asintomatiche e forme lievi di malattia</w:t>
      </w:r>
      <w:r w:rsidR="00986C25">
        <w:t xml:space="preserve"> che non necessitano di ricovero</w:t>
      </w:r>
      <w:r>
        <w:t>.</w:t>
      </w:r>
      <w:r w:rsidRPr="009B606E">
        <w:t xml:space="preserve"> </w:t>
      </w:r>
    </w:p>
    <w:p w:rsidR="00E075CE" w:rsidRDefault="00213464" w:rsidP="0021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378B5EC" wp14:editId="68E7ED7B">
            <wp:extent cx="5760000" cy="3535677"/>
            <wp:effectExtent l="0" t="0" r="0" b="825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5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D0D" w:rsidRDefault="00E075CE" w:rsidP="002134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</w:pPr>
      <w:r>
        <w:t>Tale riduzione, t</w:t>
      </w:r>
      <w:r w:rsidR="00460D0D">
        <w:t xml:space="preserve">uttavia, </w:t>
      </w:r>
      <w:r w:rsidR="0094638F">
        <w:t>risulta</w:t>
      </w:r>
      <w:r>
        <w:t xml:space="preserve"> </w:t>
      </w:r>
      <w:r w:rsidR="00822041">
        <w:t>inversamente proporzionale all’età</w:t>
      </w:r>
      <w:r w:rsidR="00672C34">
        <w:t xml:space="preserve">: al </w:t>
      </w:r>
      <w:r w:rsidR="00672C34">
        <w:rPr>
          <w:color w:val="auto"/>
        </w:rPr>
        <w:t>22 agosto</w:t>
      </w:r>
      <w:r w:rsidR="00126938">
        <w:rPr>
          <w:color w:val="auto"/>
        </w:rPr>
        <w:t xml:space="preserve"> </w:t>
      </w:r>
      <w:r w:rsidR="007D2680">
        <w:rPr>
          <w:color w:val="auto"/>
        </w:rPr>
        <w:t xml:space="preserve">l’efficacia </w:t>
      </w:r>
      <w:r w:rsidR="00672C34">
        <w:rPr>
          <w:color w:val="auto"/>
        </w:rPr>
        <w:t xml:space="preserve">è del </w:t>
      </w:r>
      <w:r w:rsidR="00460D0D" w:rsidRPr="001F63AA">
        <w:rPr>
          <w:color w:val="auto"/>
        </w:rPr>
        <w:t>6</w:t>
      </w:r>
      <w:r w:rsidR="001F63AA" w:rsidRPr="001F63AA">
        <w:rPr>
          <w:color w:val="auto"/>
        </w:rPr>
        <w:t>7,4</w:t>
      </w:r>
      <w:r w:rsidR="00460D0D" w:rsidRPr="001F63AA">
        <w:rPr>
          <w:color w:val="auto"/>
        </w:rPr>
        <w:t>%</w:t>
      </w:r>
      <w:r w:rsidR="00822041" w:rsidRPr="001F63AA">
        <w:rPr>
          <w:color w:val="auto"/>
        </w:rPr>
        <w:t xml:space="preserve"> nella</w:t>
      </w:r>
      <w:r w:rsidR="00460D0D" w:rsidRPr="001F63AA">
        <w:rPr>
          <w:color w:val="auto"/>
        </w:rPr>
        <w:t xml:space="preserve"> </w:t>
      </w:r>
      <w:r w:rsidR="00822041" w:rsidRPr="001F63AA">
        <w:rPr>
          <w:color w:val="auto"/>
        </w:rPr>
        <w:t xml:space="preserve">fascia 12-39 anni </w:t>
      </w:r>
      <w:r w:rsidR="00460D0D" w:rsidRPr="001F63AA">
        <w:rPr>
          <w:color w:val="auto"/>
        </w:rPr>
        <w:t xml:space="preserve">e </w:t>
      </w:r>
      <w:r w:rsidR="00672C34">
        <w:rPr>
          <w:color w:val="auto"/>
        </w:rPr>
        <w:t xml:space="preserve">del </w:t>
      </w:r>
      <w:r w:rsidR="00822041" w:rsidRPr="001F63AA">
        <w:rPr>
          <w:color w:val="auto"/>
        </w:rPr>
        <w:t>7</w:t>
      </w:r>
      <w:r w:rsidR="001F63AA" w:rsidRPr="001F63AA">
        <w:rPr>
          <w:color w:val="auto"/>
        </w:rPr>
        <w:t>7,1</w:t>
      </w:r>
      <w:r w:rsidR="00822041" w:rsidRPr="001F63AA">
        <w:rPr>
          <w:color w:val="auto"/>
        </w:rPr>
        <w:t xml:space="preserve">% </w:t>
      </w:r>
      <w:r w:rsidR="00460D0D" w:rsidRPr="001F63AA">
        <w:rPr>
          <w:color w:val="auto"/>
        </w:rPr>
        <w:t xml:space="preserve">in </w:t>
      </w:r>
      <w:r w:rsidR="00460D0D">
        <w:t xml:space="preserve">quella </w:t>
      </w:r>
      <w:r w:rsidR="00460D0D" w:rsidRPr="009B606E">
        <w:t>40-59</w:t>
      </w:r>
      <w:r w:rsidR="00460D0D">
        <w:t xml:space="preserve"> anni</w:t>
      </w:r>
      <w:r w:rsidR="007D2680">
        <w:t xml:space="preserve"> (al 4 luglio erano rispettivamente 79,8% e 80,8%);</w:t>
      </w:r>
      <w:r w:rsidR="00126938">
        <w:t xml:space="preserve"> </w:t>
      </w:r>
      <w:r w:rsidR="00460D0D">
        <w:t xml:space="preserve">visto che </w:t>
      </w:r>
      <w:r w:rsidR="001F63AA">
        <w:t xml:space="preserve">negli over 60 </w:t>
      </w:r>
      <w:r w:rsidR="00460D0D">
        <w:t xml:space="preserve">l’efficacia sulla diagnosi si mantiene </w:t>
      </w:r>
      <w:r w:rsidR="0094638F">
        <w:t>superiore all</w:t>
      </w:r>
      <w:r w:rsidR="007D2680">
        <w:t>’</w:t>
      </w:r>
      <w:r w:rsidR="001F63AA">
        <w:t xml:space="preserve">85% </w:t>
      </w:r>
      <w:r w:rsidR="00126938">
        <w:t xml:space="preserve">è </w:t>
      </w:r>
      <w:r w:rsidR="00672C34">
        <w:t>verosimile</w:t>
      </w:r>
      <w:r w:rsidR="00126938">
        <w:t xml:space="preserve"> che tra i più giovani</w:t>
      </w:r>
      <w:r w:rsidR="00986C25">
        <w:t xml:space="preserve"> </w:t>
      </w:r>
      <w:r w:rsidR="001D0234">
        <w:t>abbia</w:t>
      </w:r>
      <w:r w:rsidR="002D30A6">
        <w:t>no</w:t>
      </w:r>
      <w:r w:rsidR="001D0234">
        <w:t xml:space="preserve"> influito durante il periodo estivo la maggiore occasione di contatti sociali e </w:t>
      </w:r>
      <w:r w:rsidR="0094638F">
        <w:t xml:space="preserve">una </w:t>
      </w:r>
      <w:r w:rsidR="001F63AA" w:rsidRPr="009B606E">
        <w:t>minore attenzione ai comportamenti individuali</w:t>
      </w:r>
      <w:r w:rsidR="00F106B7">
        <w:t xml:space="preserve">, </w:t>
      </w:r>
      <w:r w:rsidR="00F106B7" w:rsidRPr="00F106B7">
        <w:t>che restano fondamentali per prevenire il cont</w:t>
      </w:r>
      <w:r w:rsidR="00F106B7">
        <w:t>agio</w:t>
      </w:r>
      <w:r w:rsidR="00F106B7" w:rsidRPr="00F106B7">
        <w:t xml:space="preserve"> anche </w:t>
      </w:r>
      <w:r w:rsidR="00F106B7">
        <w:t xml:space="preserve">nelle </w:t>
      </w:r>
      <w:r w:rsidR="00F106B7" w:rsidRPr="00F106B7">
        <w:t>persone vaccinate.</w:t>
      </w:r>
      <w:r w:rsidR="00F106B7">
        <w:t xml:space="preserve"> </w:t>
      </w:r>
    </w:p>
    <w:p w:rsidR="00460D0D" w:rsidRDefault="00213464" w:rsidP="00114459">
      <w:pPr>
        <w:jc w:val="center"/>
      </w:pPr>
      <w:r>
        <w:rPr>
          <w:noProof/>
        </w:rPr>
        <w:drawing>
          <wp:inline distT="0" distB="0" distL="0" distR="0" wp14:anchorId="248E8437" wp14:editId="0A73077A">
            <wp:extent cx="5760000" cy="3539077"/>
            <wp:effectExtent l="0" t="0" r="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3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D0D" w:rsidRDefault="00460D0D" w:rsidP="00460D0D">
      <w:pPr>
        <w:jc w:val="both"/>
      </w:pPr>
    </w:p>
    <w:p w:rsidR="00460D0D" w:rsidRDefault="00460D0D" w:rsidP="001144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</w:pPr>
      <w:r>
        <w:t>A</w:t>
      </w:r>
      <w:r w:rsidRPr="009B606E">
        <w:t xml:space="preserve"> fronte di un aumento di ospedalizzazioni, ricoveri in terapia intensiva e decessi sia nei vaccinati che nei non vaccinati, </w:t>
      </w:r>
      <w:r w:rsidR="00312D49">
        <w:t xml:space="preserve">rispetto alla </w:t>
      </w:r>
      <w:r w:rsidR="002D30A6">
        <w:t xml:space="preserve">precedente </w:t>
      </w:r>
      <w:r w:rsidR="00312D49">
        <w:t>rilevazione</w:t>
      </w:r>
      <w:r w:rsidR="006B75AC">
        <w:t xml:space="preserve"> </w:t>
      </w:r>
      <w:r w:rsidR="00312D49">
        <w:t>dell’ISS</w:t>
      </w:r>
      <w:r w:rsidR="006B75AC">
        <w:t xml:space="preserve">, </w:t>
      </w:r>
      <w:r w:rsidRPr="009B606E">
        <w:t>il rapporto fra i due gruppi</w:t>
      </w:r>
      <w:r w:rsidR="00BB1851" w:rsidRPr="00BB1851">
        <w:t xml:space="preserve"> </w:t>
      </w:r>
      <w:r w:rsidR="00BB1851" w:rsidRPr="009B606E">
        <w:t xml:space="preserve">si mantiene </w:t>
      </w:r>
      <w:r w:rsidR="00BB1851" w:rsidRPr="009B606E">
        <w:lastRenderedPageBreak/>
        <w:t>pressoché stabile</w:t>
      </w:r>
      <w:r w:rsidRPr="009B606E">
        <w:t xml:space="preserve">, con </w:t>
      </w:r>
      <w:r w:rsidR="00444814">
        <w:t xml:space="preserve">del </w:t>
      </w:r>
      <w:r w:rsidRPr="009B606E">
        <w:t xml:space="preserve">rischio </w:t>
      </w:r>
      <w:r w:rsidR="00BB1851">
        <w:t xml:space="preserve">rispettivamente </w:t>
      </w:r>
      <w:r w:rsidR="00BB1851" w:rsidRPr="009B606E">
        <w:t>del</w:t>
      </w:r>
      <w:r w:rsidR="00BB1851">
        <w:t>l’</w:t>
      </w:r>
      <w:r w:rsidRPr="009B606E">
        <w:t>85,</w:t>
      </w:r>
      <w:r>
        <w:t>3</w:t>
      </w:r>
      <w:r w:rsidRPr="009B606E">
        <w:t xml:space="preserve">%, </w:t>
      </w:r>
      <w:r>
        <w:t>89,3</w:t>
      </w:r>
      <w:r w:rsidRPr="009B606E">
        <w:t xml:space="preserve">% e </w:t>
      </w:r>
      <w:r>
        <w:t>78,9</w:t>
      </w:r>
      <w:r w:rsidRPr="009B606E">
        <w:t>% in chi non ha ricevuto nemmeno una dose di vaccino rispetto a coloro che hanno completato il ciclo vaccinale</w:t>
      </w:r>
      <w:r>
        <w:t>.</w:t>
      </w:r>
    </w:p>
    <w:p w:rsidR="00460D0D" w:rsidRDefault="00213464" w:rsidP="00213464">
      <w:pPr>
        <w:jc w:val="center"/>
      </w:pPr>
      <w:r>
        <w:rPr>
          <w:noProof/>
        </w:rPr>
        <w:drawing>
          <wp:inline distT="0" distB="0" distL="0" distR="0" wp14:anchorId="79F29075" wp14:editId="699CE119">
            <wp:extent cx="5760000" cy="3406154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6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D0D" w:rsidRDefault="00986C25" w:rsidP="0011445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</w:pPr>
      <w:r>
        <w:t>Infine, i</w:t>
      </w:r>
      <w:r w:rsidR="00460D0D">
        <w:t xml:space="preserve">l numero di operatori sanitari positivi al SARS-CoV-2, dopo un </w:t>
      </w:r>
      <w:r w:rsidR="001D0234">
        <w:t>netto calo</w:t>
      </w:r>
      <w:r w:rsidR="00460D0D">
        <w:t xml:space="preserve"> dall’inizio della campagna vaccinale,</w:t>
      </w:r>
      <w:r w:rsidR="00460D0D" w:rsidRPr="00434018">
        <w:t xml:space="preserve"> </w:t>
      </w:r>
      <w:r w:rsidR="00F52DDA">
        <w:t>nei mesi</w:t>
      </w:r>
      <w:r w:rsidR="001F63AA">
        <w:t xml:space="preserve"> di luglio</w:t>
      </w:r>
      <w:r w:rsidR="00F52DDA">
        <w:t xml:space="preserve"> e agosto </w:t>
      </w:r>
      <w:r w:rsidR="001D0234">
        <w:t xml:space="preserve">fa registrare una </w:t>
      </w:r>
      <w:r w:rsidR="00946F37">
        <w:t xml:space="preserve">lieve </w:t>
      </w:r>
      <w:r w:rsidR="001D0234">
        <w:t>risalita</w:t>
      </w:r>
      <w:r w:rsidR="00E54306">
        <w:t xml:space="preserve">. </w:t>
      </w:r>
      <w:r w:rsidR="00275FFE">
        <w:t xml:space="preserve">Tuttavia </w:t>
      </w:r>
      <w:r w:rsidR="00E54306">
        <w:t>è</w:t>
      </w:r>
      <w:r w:rsidR="00F52DDA">
        <w:t xml:space="preserve"> ancora presto per </w:t>
      </w:r>
      <w:r w:rsidR="00563184">
        <w:t>affermare</w:t>
      </w:r>
      <w:r w:rsidR="00F52DDA">
        <w:t xml:space="preserve"> con certezza se</w:t>
      </w:r>
      <w:r w:rsidR="00563184">
        <w:t xml:space="preserve"> il fenomeno sia</w:t>
      </w:r>
      <w:r w:rsidR="00F52DDA">
        <w:t xml:space="preserve"> </w:t>
      </w:r>
      <w:r w:rsidR="00563184">
        <w:t>attribuibile</w:t>
      </w:r>
      <w:r w:rsidR="00F52DDA">
        <w:t xml:space="preserve"> </w:t>
      </w:r>
      <w:r w:rsidR="00563184">
        <w:t xml:space="preserve">ad una </w:t>
      </w:r>
      <w:r w:rsidR="00460D0D">
        <w:t xml:space="preserve">perdita di efficacia </w:t>
      </w:r>
      <w:r w:rsidR="00C12AB9">
        <w:t>del</w:t>
      </w:r>
      <w:r w:rsidR="00946F37">
        <w:t>la copertura</w:t>
      </w:r>
      <w:r w:rsidR="00C12AB9">
        <w:t xml:space="preserve"> </w:t>
      </w:r>
      <w:r w:rsidR="00946F37">
        <w:t xml:space="preserve">vaccinale </w:t>
      </w:r>
      <w:r w:rsidR="00F52DDA">
        <w:t xml:space="preserve">o </w:t>
      </w:r>
      <w:r w:rsidR="00275FFE">
        <w:t xml:space="preserve">rifletta </w:t>
      </w:r>
      <w:r w:rsidR="00E54306">
        <w:t>l’</w:t>
      </w:r>
      <w:r w:rsidR="00F52DDA">
        <w:t>aumentata circolazione virale nella popolazione generale</w:t>
      </w:r>
      <w:r w:rsidR="00460D0D">
        <w:t>.</w:t>
      </w:r>
      <w:r w:rsidR="00944092">
        <w:t xml:space="preserve"> </w:t>
      </w:r>
    </w:p>
    <w:p w:rsidR="00460D0D" w:rsidRDefault="00460D0D" w:rsidP="00213464">
      <w:pPr>
        <w:jc w:val="center"/>
      </w:pPr>
      <w:r>
        <w:rPr>
          <w:noProof/>
        </w:rPr>
        <w:drawing>
          <wp:inline distT="0" distB="0" distL="0" distR="0" wp14:anchorId="42745B04" wp14:editId="04D4879E">
            <wp:extent cx="5760000" cy="271396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13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114459" w:rsidP="00DA708A">
      <w:pPr>
        <w:spacing w:after="120" w:line="276" w:lineRule="auto"/>
        <w:rPr>
          <w:rStyle w:val="Hyperlink0"/>
        </w:rPr>
      </w:pPr>
      <w:r w:rsidRPr="00114459">
        <w:rPr>
          <w:b/>
          <w:i/>
          <w:iCs/>
        </w:rPr>
        <w:br/>
      </w:r>
      <w:r w:rsidR="00CE577D">
        <w:rPr>
          <w:i/>
          <w:iCs/>
        </w:rPr>
        <w:t xml:space="preserve">Il monitoraggio GIMBE dell'epidemia di COVID-19 è disponibile a: </w:t>
      </w:r>
      <w:hyperlink r:id="rId12" w:history="1">
        <w:r w:rsidR="00CE577D">
          <w:rPr>
            <w:rStyle w:val="Hyperlink0"/>
          </w:rPr>
          <w:t>https://coronavirus.gimbe.org</w:t>
        </w:r>
      </w:hyperlink>
    </w:p>
    <w:p w:rsidR="00930098" w:rsidRPr="00684004" w:rsidRDefault="00CE577D" w:rsidP="00684004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>
        <w:rPr>
          <w:b/>
          <w:bCs/>
        </w:rPr>
        <w:t>CONTATTI</w:t>
      </w:r>
      <w:r>
        <w:rPr>
          <w:i/>
          <w:iCs/>
        </w:rPr>
        <w:br/>
      </w:r>
      <w:r>
        <w:rPr>
          <w:b/>
          <w:bCs/>
        </w:rPr>
        <w:t>Fondazione GIMBE</w:t>
      </w:r>
      <w:r>
        <w:rPr>
          <w:i/>
          <w:iCs/>
          <w:color w:val="0563C1"/>
          <w:u w:val="single" w:color="0563C1"/>
        </w:rPr>
        <w:br/>
      </w:r>
      <w:r>
        <w:rPr>
          <w:sz w:val="20"/>
          <w:szCs w:val="20"/>
        </w:rPr>
        <w:t>Via Amendola 2 - 40121 Bologna</w:t>
      </w:r>
      <w:r>
        <w:rPr>
          <w:sz w:val="20"/>
          <w:szCs w:val="20"/>
        </w:rPr>
        <w:br/>
        <w:t>Tel. 051 5883920 - Fax 051 4075774</w:t>
      </w:r>
      <w:r>
        <w:rPr>
          <w:sz w:val="20"/>
          <w:szCs w:val="20"/>
        </w:rPr>
        <w:br/>
        <w:t xml:space="preserve">E-mail: </w:t>
      </w:r>
      <w:hyperlink r:id="rId13" w:history="1">
        <w:r>
          <w:rPr>
            <w:rStyle w:val="Hyperlink1"/>
          </w:rPr>
          <w:t>ufficio.stampa@gimbe.org</w:t>
        </w:r>
      </w:hyperlink>
    </w:p>
    <w:p w:rsidR="00F122C0" w:rsidRDefault="00F122C0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F122C0" w:rsidRDefault="00F122C0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7B682B" w:rsidRDefault="006850D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8635FBC" wp14:editId="475C96FF">
            <wp:extent cx="5760000" cy="319339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2</w:t>
      </w:r>
      <w:r>
        <w:rPr>
          <w:b/>
          <w:bCs/>
          <w:color w:val="00457D"/>
          <w:sz w:val="24"/>
          <w:szCs w:val="24"/>
          <w:u w:color="00457D"/>
        </w:rPr>
        <w:br/>
      </w:r>
      <w:r w:rsidR="006850DD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6199D76" wp14:editId="5FBA9620">
            <wp:extent cx="5760000" cy="3094654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CE577D">
      <w:pPr>
        <w:jc w:val="center"/>
        <w:sectPr w:rsidR="007B682B">
          <w:headerReference w:type="default" r:id="rId16"/>
          <w:pgSz w:w="11900" w:h="16840"/>
          <w:pgMar w:top="993" w:right="1134" w:bottom="709" w:left="1134" w:header="709" w:footer="709" w:gutter="0"/>
          <w:cols w:space="720"/>
        </w:sectPr>
      </w:pPr>
      <w:r>
        <w:rPr>
          <w:b/>
          <w:bCs/>
          <w:color w:val="00457D"/>
          <w:sz w:val="24"/>
          <w:szCs w:val="24"/>
          <w:u w:color="00457D"/>
        </w:rPr>
        <w:br/>
      </w:r>
    </w:p>
    <w:p w:rsidR="007B682B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Default="003747F1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41E36CC" wp14:editId="6628FC89">
            <wp:extent cx="9360000" cy="4810624"/>
            <wp:effectExtent l="0" t="0" r="0" b="952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1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 w:line="360" w:lineRule="auto"/>
        <w:jc w:val="center"/>
        <w:sectPr w:rsidR="007B682B" w:rsidSect="00AF08E9">
          <w:headerReference w:type="default" r:id="rId18"/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B66203" w:rsidRDefault="00B66203" w:rsidP="00B6620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B66203" w:rsidRDefault="003747F1" w:rsidP="00B6620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D6CF819" wp14:editId="6876B93C">
            <wp:extent cx="5760000" cy="2824094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203" w:rsidRDefault="00B66203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B66203">
        <w:rPr>
          <w:b/>
          <w:bCs/>
          <w:color w:val="00457D"/>
          <w:sz w:val="24"/>
          <w:szCs w:val="24"/>
          <w:u w:color="00457D"/>
        </w:rPr>
        <w:t>5</w:t>
      </w:r>
    </w:p>
    <w:p w:rsidR="007B682B" w:rsidRDefault="003747F1" w:rsidP="00AF08E9">
      <w:pPr>
        <w:spacing w:after="24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DAD310D" wp14:editId="683F9C08">
            <wp:extent cx="5760000" cy="4453613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5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203" w:rsidRDefault="00B6620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 w:rsidP="00AF08E9">
      <w:pPr>
        <w:spacing w:before="16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B66203">
        <w:rPr>
          <w:b/>
          <w:bCs/>
          <w:color w:val="00457D"/>
          <w:sz w:val="24"/>
          <w:szCs w:val="24"/>
          <w:u w:color="00457D"/>
        </w:rPr>
        <w:t>6</w:t>
      </w:r>
    </w:p>
    <w:p w:rsidR="007B682B" w:rsidRDefault="003747F1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B51D6B7" wp14:editId="3DA71554">
            <wp:extent cx="5760000" cy="4453613"/>
            <wp:effectExtent l="0" t="0" r="0" b="444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5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7D7" w:rsidRDefault="00BB07D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7</w:t>
      </w:r>
    </w:p>
    <w:p w:rsidR="007B682B" w:rsidRDefault="003747F1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DEA1241" wp14:editId="27CB202E">
            <wp:extent cx="5760000" cy="2826141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8E9" w:rsidRDefault="00AF08E9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AF08E9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8</w:t>
      </w:r>
    </w:p>
    <w:p w:rsidR="007B682B" w:rsidRDefault="0046143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369E5303" wp14:editId="72E36CCF">
            <wp:extent cx="5760000" cy="3083243"/>
            <wp:effectExtent l="0" t="0" r="0" b="317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6176B8" w:rsidP="00AF08E9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9</w:t>
      </w:r>
    </w:p>
    <w:p w:rsidR="007B682B" w:rsidRDefault="0046143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9D22F6C" wp14:editId="2F71FD34">
            <wp:extent cx="5760000" cy="452250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8E9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7145F8">
        <w:rPr>
          <w:b/>
          <w:bCs/>
          <w:color w:val="00457D"/>
          <w:sz w:val="24"/>
          <w:szCs w:val="24"/>
          <w:u w:color="00457D"/>
        </w:rPr>
        <w:t>0</w:t>
      </w:r>
    </w:p>
    <w:p w:rsidR="007B682B" w:rsidRDefault="0046143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30B8BDB" wp14:editId="2D0133D7">
            <wp:extent cx="5760000" cy="3100139"/>
            <wp:effectExtent l="0" t="0" r="0" b="508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00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135C5" w:rsidRDefault="007135C5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7145F8">
        <w:rPr>
          <w:b/>
          <w:bCs/>
          <w:color w:val="00457D"/>
          <w:sz w:val="24"/>
          <w:szCs w:val="24"/>
          <w:u w:color="00457D"/>
        </w:rPr>
        <w:t>1</w:t>
      </w:r>
    </w:p>
    <w:p w:rsidR="007B682B" w:rsidRDefault="0046143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22E8C6F" wp14:editId="6ECE432E">
            <wp:extent cx="5760000" cy="3362540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8E9" w:rsidRDefault="00AF08E9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B66203">
        <w:rPr>
          <w:b/>
          <w:bCs/>
          <w:color w:val="00457D"/>
          <w:sz w:val="24"/>
          <w:szCs w:val="24"/>
          <w:u w:color="00457D"/>
        </w:rPr>
        <w:t>2</w:t>
      </w:r>
    </w:p>
    <w:p w:rsidR="00705A25" w:rsidRDefault="00127892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9F43923" wp14:editId="2940F69E">
            <wp:extent cx="5760000" cy="3511504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1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A25" w:rsidRDefault="00705A25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B66203" w:rsidP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</w:t>
      </w:r>
      <w:r w:rsidR="00CE577D">
        <w:rPr>
          <w:b/>
          <w:bCs/>
          <w:color w:val="00457D"/>
          <w:sz w:val="24"/>
          <w:szCs w:val="24"/>
          <w:u w:color="00457D"/>
        </w:rPr>
        <w:t>gura 1</w:t>
      </w:r>
      <w:r>
        <w:rPr>
          <w:b/>
          <w:bCs/>
          <w:color w:val="00457D"/>
          <w:sz w:val="24"/>
          <w:szCs w:val="24"/>
          <w:u w:color="00457D"/>
        </w:rPr>
        <w:t>3</w:t>
      </w:r>
    </w:p>
    <w:p w:rsidR="007B682B" w:rsidRDefault="005C335F">
      <w:pPr>
        <w:spacing w:after="120"/>
        <w:jc w:val="center"/>
      </w:pPr>
      <w:r>
        <w:rPr>
          <w:noProof/>
        </w:rPr>
        <w:drawing>
          <wp:inline distT="0" distB="0" distL="0" distR="0" wp14:anchorId="3C41CB76" wp14:editId="43275352">
            <wp:extent cx="5760000" cy="4435862"/>
            <wp:effectExtent l="0" t="0" r="0" b="31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5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spacing w:after="120"/>
        <w:jc w:val="center"/>
      </w:pPr>
    </w:p>
    <w:p w:rsidR="00705A25" w:rsidRDefault="00705A25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Default="00CE577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B66203">
        <w:rPr>
          <w:b/>
          <w:bCs/>
          <w:color w:val="00457D"/>
          <w:sz w:val="24"/>
          <w:szCs w:val="24"/>
          <w:u w:color="00457D"/>
        </w:rPr>
        <w:t>4</w:t>
      </w:r>
    </w:p>
    <w:p w:rsidR="007B682B" w:rsidRDefault="00C94E2D">
      <w:pPr>
        <w:spacing w:after="120"/>
        <w:jc w:val="center"/>
      </w:pPr>
      <w:r>
        <w:rPr>
          <w:noProof/>
        </w:rPr>
        <w:drawing>
          <wp:inline distT="0" distB="0" distL="0" distR="0" wp14:anchorId="56B44861" wp14:editId="5D49980A">
            <wp:extent cx="5760000" cy="3405510"/>
            <wp:effectExtent l="0" t="0" r="0" b="444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A25" w:rsidRDefault="00705A25" w:rsidP="00705A25">
      <w:pPr>
        <w:jc w:val="center"/>
        <w:rPr>
          <w:rFonts w:ascii="Arial Unicode MS" w:hAnsi="Arial Unicode MS"/>
          <w:b/>
          <w:color w:val="00457D"/>
          <w:sz w:val="24"/>
          <w:szCs w:val="24"/>
          <w:u w:color="00457D"/>
        </w:rPr>
      </w:pPr>
    </w:p>
    <w:p w:rsidR="007B682B" w:rsidRDefault="00705A25" w:rsidP="00705A25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705A25">
        <w:rPr>
          <w:rFonts w:ascii="Arial Unicode MS" w:hAnsi="Arial Unicode MS"/>
          <w:b/>
          <w:color w:val="00457D"/>
          <w:sz w:val="24"/>
          <w:szCs w:val="24"/>
          <w:u w:color="00457D"/>
        </w:rPr>
        <w:t>F</w:t>
      </w:r>
      <w:r w:rsidR="00CE577D">
        <w:rPr>
          <w:b/>
          <w:bCs/>
          <w:color w:val="00457D"/>
          <w:sz w:val="24"/>
          <w:szCs w:val="24"/>
          <w:u w:color="00457D"/>
        </w:rPr>
        <w:t xml:space="preserve">igura </w:t>
      </w:r>
      <w:r w:rsidR="00AF08E9">
        <w:rPr>
          <w:b/>
          <w:bCs/>
          <w:color w:val="00457D"/>
          <w:sz w:val="24"/>
          <w:szCs w:val="24"/>
          <w:u w:color="00457D"/>
        </w:rPr>
        <w:t>1</w:t>
      </w:r>
      <w:r w:rsidR="00B66203">
        <w:rPr>
          <w:b/>
          <w:bCs/>
          <w:color w:val="00457D"/>
          <w:sz w:val="24"/>
          <w:szCs w:val="24"/>
          <w:u w:color="00457D"/>
        </w:rPr>
        <w:t>5</w:t>
      </w:r>
    </w:p>
    <w:p w:rsidR="007B682B" w:rsidRDefault="00C94E2D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B5A9990" wp14:editId="0DC212AA">
            <wp:extent cx="5760000" cy="3362540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Default="007B682B">
      <w:pPr>
        <w:jc w:val="center"/>
        <w:rPr>
          <w:b/>
          <w:bCs/>
          <w:color w:val="FF0000"/>
          <w:sz w:val="24"/>
          <w:szCs w:val="24"/>
          <w:u w:color="FF0000"/>
        </w:rPr>
      </w:pPr>
    </w:p>
    <w:p w:rsidR="00705A25" w:rsidRDefault="00705A25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C94E2D" w:rsidRPr="00C94E2D" w:rsidRDefault="00CE577D" w:rsidP="00C94E2D">
      <w:pPr>
        <w:spacing w:line="276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C94E2D">
        <w:rPr>
          <w:b/>
          <w:bCs/>
          <w:color w:val="00457D"/>
          <w:sz w:val="24"/>
          <w:szCs w:val="24"/>
          <w:u w:color="00457D"/>
        </w:rPr>
        <w:t>25-31</w:t>
      </w:r>
      <w:r w:rsidR="002B7A43">
        <w:rPr>
          <w:b/>
          <w:bCs/>
          <w:color w:val="00457D"/>
          <w:sz w:val="24"/>
          <w:szCs w:val="24"/>
          <w:u w:color="00457D"/>
        </w:rPr>
        <w:t xml:space="preserve"> agosto</w:t>
      </w:r>
      <w:r>
        <w:rPr>
          <w:b/>
          <w:bCs/>
          <w:color w:val="00457D"/>
          <w:sz w:val="24"/>
          <w:szCs w:val="24"/>
          <w:u w:color="00457D"/>
        </w:rPr>
        <w:t xml:space="preserve"> 2021</w:t>
      </w:r>
      <w:r w:rsidR="002B7A43">
        <w:rPr>
          <w:rFonts w:ascii="Arial Unicode MS" w:hAnsi="Arial Unicode MS"/>
          <w:color w:val="00457D"/>
          <w:spacing w:val="-4"/>
          <w:sz w:val="24"/>
          <w:szCs w:val="24"/>
          <w:u w:color="00457D"/>
        </w:rPr>
        <w:t xml:space="preserve"> </w:t>
      </w:r>
    </w:p>
    <w:tbl>
      <w:tblPr>
        <w:tblW w:w="4859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9"/>
        <w:gridCol w:w="1873"/>
        <w:gridCol w:w="1440"/>
        <w:gridCol w:w="2015"/>
        <w:gridCol w:w="2159"/>
      </w:tblGrid>
      <w:tr w:rsidR="00C94E2D" w:rsidRPr="00C94E2D" w:rsidTr="00C94E2D">
        <w:trPr>
          <w:trHeight w:val="907"/>
        </w:trPr>
        <w:tc>
          <w:tcPr>
            <w:tcW w:w="10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94E2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986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C94E2D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758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94E2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C94E2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1061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94E2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1137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94E2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C94E2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170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-18,6%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256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17,5%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13%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1%</w:t>
            </w:r>
          </w:p>
        </w:tc>
      </w:tr>
      <w:tr w:rsidR="00C94E2D" w:rsidRPr="00C94E2D" w:rsidTr="00127892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254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8,0%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27892">
              <w:rPr>
                <w:rFonts w:eastAsia="Times New Roman" w:cs="Calibri"/>
                <w:color w:val="9C0006"/>
                <w:bdr w:val="none" w:sz="0" w:space="0" w:color="auto"/>
              </w:rPr>
              <w:t>17%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159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-0,8%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10%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356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3,6%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100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31,1%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266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-19,5%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127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-10,6%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110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10,0%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231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20,8%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78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93,0%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C94E2D" w:rsidRPr="00C94E2D" w:rsidTr="00127892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84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94E2D" w:rsidRPr="00127892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27892">
              <w:rPr>
                <w:rFonts w:eastAsia="Times New Roman" w:cs="Calibri"/>
                <w:color w:val="9C0006"/>
                <w:bdr w:val="none" w:sz="0" w:space="0" w:color="auto"/>
              </w:rPr>
              <w:t>3,5%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131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-7,8%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91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-6,5%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116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-6,7%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C94E2D" w:rsidRPr="00C94E2D" w:rsidTr="00127892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476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-9,0%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15%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94E2D" w:rsidRPr="00127892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27892">
              <w:rPr>
                <w:rFonts w:eastAsia="Times New Roman" w:cs="Calibri"/>
                <w:color w:val="9C0006"/>
                <w:bdr w:val="none" w:sz="0" w:space="0" w:color="auto"/>
              </w:rPr>
              <w:t>13%</w:t>
            </w:r>
          </w:p>
        </w:tc>
      </w:tr>
      <w:tr w:rsidR="00C94E2D" w:rsidRPr="00C94E2D" w:rsidTr="00127892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583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-2,1%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127892">
              <w:rPr>
                <w:rFonts w:eastAsia="Times New Roman" w:cs="Calibri"/>
                <w:color w:val="9C0006"/>
                <w:bdr w:val="none" w:sz="0" w:space="0" w:color="auto"/>
              </w:rPr>
              <w:t>23%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FFC7CE"/>
            <w:noWrap/>
            <w:vAlign w:val="center"/>
            <w:hideMark/>
          </w:tcPr>
          <w:p w:rsidR="00C94E2D" w:rsidRPr="00127892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127892">
              <w:rPr>
                <w:rFonts w:eastAsia="Times New Roman" w:cs="Calibri"/>
                <w:color w:val="9C0006"/>
                <w:bdr w:val="none" w:sz="0" w:space="0" w:color="auto"/>
              </w:rPr>
              <w:t>13%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301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-10,9%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194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-2,5%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88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-42,1%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C94E2D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264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9C0006"/>
                <w:bdr w:val="none" w:sz="0" w:space="0" w:color="auto"/>
              </w:rPr>
              <w:t>21,0%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C94E2D" w:rsidRPr="00C94E2D" w:rsidTr="00C94E2D">
        <w:trPr>
          <w:trHeight w:val="340"/>
        </w:trPr>
        <w:tc>
          <w:tcPr>
            <w:tcW w:w="105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C94E2D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986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C94E2D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231</w:t>
            </w:r>
          </w:p>
        </w:tc>
        <w:tc>
          <w:tcPr>
            <w:tcW w:w="75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-0,3%</w:t>
            </w:r>
          </w:p>
        </w:tc>
        <w:tc>
          <w:tcPr>
            <w:tcW w:w="1061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113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C94E2D" w:rsidRPr="00C94E2D" w:rsidRDefault="00C94E2D" w:rsidP="00C94E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C94E2D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6%</w:t>
            </w:r>
          </w:p>
        </w:tc>
      </w:tr>
      <w:tr w:rsidR="00C94E2D" w:rsidRPr="00C94E2D" w:rsidTr="00C94E2D">
        <w:trPr>
          <w:trHeight w:val="1710"/>
        </w:trPr>
        <w:tc>
          <w:tcPr>
            <w:tcW w:w="5000" w:type="pct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C94E2D" w:rsidRPr="00C94E2D" w:rsidRDefault="00C94E2D" w:rsidP="001278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C94E2D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 e verde indicano rispettivamente una performance regionale in peggioramento, o in miglioramento, rispetto alla settimana precedente.</w:t>
            </w:r>
            <w:r w:rsidRPr="00C94E2D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C94E2D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</w:r>
            <w:r w:rsidRPr="0012789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Nelle ultime 2 colonne rosso e verde indicano il superamento, o meno, della soglia di saturazione del </w:t>
            </w:r>
            <w:r w:rsidR="00127892" w:rsidRPr="0012789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15</w:t>
            </w:r>
            <w:r w:rsidRPr="0012789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% per l’area medica e del </w:t>
            </w:r>
            <w:r w:rsidR="00127892" w:rsidRPr="0012789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1</w:t>
            </w:r>
            <w:r w:rsidRPr="00127892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0% per le terapie intensive (dati Agenas).</w:t>
            </w:r>
          </w:p>
        </w:tc>
      </w:tr>
    </w:tbl>
    <w:p w:rsidR="007B682B" w:rsidRDefault="00CE577D">
      <w:r>
        <w:rPr>
          <w:rFonts w:ascii="Arial Unicode MS" w:hAnsi="Arial Unicode MS"/>
          <w:color w:val="00457D"/>
          <w:spacing w:val="-4"/>
          <w:sz w:val="24"/>
          <w:szCs w:val="24"/>
          <w:u w:color="00457D"/>
        </w:rPr>
        <w:br w:type="page"/>
      </w:r>
    </w:p>
    <w:p w:rsidR="007B682B" w:rsidRPr="00F441F1" w:rsidRDefault="00CE577D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 xml:space="preserve">Tabella 2. </w:t>
      </w:r>
      <w:r w:rsidR="00A37F61" w:rsidRPr="00F441F1">
        <w:rPr>
          <w:b/>
          <w:bCs/>
          <w:color w:val="00457D"/>
          <w:sz w:val="24"/>
          <w:szCs w:val="24"/>
          <w:u w:color="00457D"/>
        </w:rPr>
        <w:t>Nuovi</w:t>
      </w:r>
      <w:r w:rsidRPr="00F441F1">
        <w:rPr>
          <w:b/>
          <w:bCs/>
          <w:color w:val="00457D"/>
          <w:sz w:val="24"/>
          <w:szCs w:val="24"/>
          <w:u w:color="00457D"/>
        </w:rPr>
        <w:t xml:space="preserve"> casi nell’ultima settimana</w:t>
      </w:r>
      <w:r w:rsidR="00A37F61" w:rsidRPr="00F441F1">
        <w:rPr>
          <w:b/>
          <w:bCs/>
          <w:color w:val="00457D"/>
          <w:sz w:val="24"/>
          <w:szCs w:val="24"/>
          <w:u w:color="00457D"/>
        </w:rPr>
        <w:t xml:space="preserve"> suddivisi per provincia</w:t>
      </w:r>
    </w:p>
    <w:p w:rsidR="007B682B" w:rsidRDefault="007B682B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679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2551"/>
      </w:tblGrid>
      <w:tr w:rsidR="007B682B" w:rsidTr="007135C5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rPr>
                <w:b/>
                <w:bCs/>
                <w:color w:val="FFFFFF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>
            <w:pPr>
              <w:spacing w:after="0" w:line="240" w:lineRule="auto"/>
            </w:pPr>
            <w:r>
              <w:rPr>
                <w:b/>
                <w:bCs/>
                <w:color w:val="FFFFFF"/>
                <w:u w:color="FFFFFF"/>
              </w:rPr>
              <w:t>Provincia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682B" w:rsidRDefault="00CE577D" w:rsidP="00497D65">
            <w:pPr>
              <w:spacing w:after="0" w:line="240" w:lineRule="auto"/>
              <w:jc w:val="center"/>
            </w:pPr>
            <w:r>
              <w:rPr>
                <w:b/>
                <w:bCs/>
                <w:color w:val="FFFFFF"/>
                <w:u w:color="FFFFFF"/>
              </w:rPr>
              <w:t xml:space="preserve">Nuovi casi per 100.000 abitanti </w:t>
            </w:r>
            <w:r w:rsidR="00497D65">
              <w:rPr>
                <w:b/>
                <w:bCs/>
                <w:color w:val="FFFFFF"/>
                <w:u w:color="FFFFFF"/>
              </w:rPr>
              <w:t>25-31</w:t>
            </w:r>
            <w:r>
              <w:rPr>
                <w:b/>
                <w:bCs/>
                <w:color w:val="FFFFFF"/>
                <w:u w:color="FFFFFF"/>
              </w:rPr>
              <w:t xml:space="preserve"> agosto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Teramo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63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L'Aquila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61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Pescara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38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Chieti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35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Potenza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77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Matera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52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Reggio di Calabria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167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Crotone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95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Vibo Valentia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89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Cosenza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75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Catanzaro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35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Napoli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77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Salerno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47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Caserta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39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Benevento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Avellino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Rimini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138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Piacenza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106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Modena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103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Parma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93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Forlì-Cesena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83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Ravenna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78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Bologna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74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Reggio nell'Emilia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68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Ferrara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67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Trieste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108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Pordenone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66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Gorizia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56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Udine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Rieti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69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Viterbo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58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Roma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52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Latina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50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Frosinone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Imperia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99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La Spezia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86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Genova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48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Savona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Brescia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Mantova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44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Lodi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Cremona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41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Lecco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39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Sondrio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38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Varese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35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Milano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35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Pavia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Como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Monza e della Brianza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Bergamo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25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Macerata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122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Fermo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116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Pesaro e Urbino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65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Ancona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59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Ascoli Piceno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50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Isernia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49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Campobasso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Bolzano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66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Trento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47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Cuneo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56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Novara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44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Verbano-Cusio-Ossola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38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Alessandria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34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Biella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Torino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Vercelli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31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Asti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26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Barletta-Andria-Trani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93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Lecce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57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Foggia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Brindisi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39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30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Taranto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22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Cagliari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210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Sud Sardegna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156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Oristano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117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Sassari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89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Nuoro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46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Enna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310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Siracusa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270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Caltanissetta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261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Ragusa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252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Catania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191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Palermo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172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Messina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164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Trapani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162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Agrigento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125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Prato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149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Pistoia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142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Livorno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117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Pisa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109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Massa Carrara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105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Firenze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101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Arezzo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97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Lucca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96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Grosseto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93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Siena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74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Terni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82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Perugia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75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Aosta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18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Treviso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110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Padova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98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Venezia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97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Verona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83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Vicenza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82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Rovigo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72</w:t>
            </w:r>
          </w:p>
        </w:tc>
      </w:tr>
      <w:tr w:rsidR="00497D65" w:rsidRPr="00D23836" w:rsidTr="00263DA4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Belluno</w:t>
            </w:r>
          </w:p>
        </w:tc>
        <w:tc>
          <w:tcPr>
            <w:tcW w:w="2551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:rsidR="00497D65" w:rsidRPr="00497D65" w:rsidRDefault="00497D65" w:rsidP="00497D65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497D65">
              <w:rPr>
                <w:rFonts w:cs="Calibri"/>
                <w:sz w:val="20"/>
                <w:szCs w:val="20"/>
              </w:rPr>
              <w:t>62</w:t>
            </w:r>
          </w:p>
        </w:tc>
      </w:tr>
    </w:tbl>
    <w:p w:rsidR="007B682B" w:rsidRDefault="007B682B" w:rsidP="007135C5">
      <w:pPr>
        <w:widowControl w:val="0"/>
        <w:spacing w:after="80" w:line="240" w:lineRule="auto"/>
        <w:jc w:val="center"/>
      </w:pPr>
    </w:p>
    <w:sectPr w:rsidR="007B682B">
      <w:headerReference w:type="default" r:id="rId31"/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10A2" w:rsidRDefault="000910A2">
      <w:pPr>
        <w:spacing w:after="0" w:line="240" w:lineRule="auto"/>
      </w:pPr>
      <w:r>
        <w:separator/>
      </w:r>
    </w:p>
  </w:endnote>
  <w:endnote w:type="continuationSeparator" w:id="0">
    <w:p w:rsidR="000910A2" w:rsidRDefault="00091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10A2" w:rsidRDefault="000910A2">
      <w:pPr>
        <w:spacing w:after="0" w:line="240" w:lineRule="auto"/>
      </w:pPr>
      <w:r>
        <w:separator/>
      </w:r>
    </w:p>
  </w:footnote>
  <w:footnote w:type="continuationSeparator" w:id="0">
    <w:p w:rsidR="000910A2" w:rsidRDefault="00091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E9C" w:rsidRDefault="00680E9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E9C" w:rsidRDefault="00680E9C">
    <w:pPr>
      <w:pStyle w:val="Intestazioneepidipagina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E9C" w:rsidRDefault="00680E9C">
    <w:pPr>
      <w:pStyle w:val="Intestazioneepidipagin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B514920"/>
    <w:multiLevelType w:val="hybridMultilevel"/>
    <w:tmpl w:val="3F8C4CC8"/>
    <w:numStyleLink w:val="Stileimportato1"/>
  </w:abstractNum>
  <w:abstractNum w:abstractNumId="2" w15:restartNumberingAfterBreak="0">
    <w:nsid w:val="17124B2D"/>
    <w:multiLevelType w:val="hybridMultilevel"/>
    <w:tmpl w:val="D040A854"/>
    <w:numStyleLink w:val="Stileimportato2"/>
  </w:abstractNum>
  <w:abstractNum w:abstractNumId="3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82B"/>
    <w:rsid w:val="00005172"/>
    <w:rsid w:val="000056DE"/>
    <w:rsid w:val="00021C19"/>
    <w:rsid w:val="00033800"/>
    <w:rsid w:val="000352B4"/>
    <w:rsid w:val="00037A0A"/>
    <w:rsid w:val="00051038"/>
    <w:rsid w:val="000552E2"/>
    <w:rsid w:val="00072C04"/>
    <w:rsid w:val="00073A8A"/>
    <w:rsid w:val="000910A2"/>
    <w:rsid w:val="00095DC5"/>
    <w:rsid w:val="000A08BA"/>
    <w:rsid w:val="000A72BA"/>
    <w:rsid w:val="000B119C"/>
    <w:rsid w:val="000B21CF"/>
    <w:rsid w:val="000B2449"/>
    <w:rsid w:val="000C6B69"/>
    <w:rsid w:val="000D75CD"/>
    <w:rsid w:val="000D7E45"/>
    <w:rsid w:val="000F3AC7"/>
    <w:rsid w:val="000F50A4"/>
    <w:rsid w:val="001104E4"/>
    <w:rsid w:val="00114088"/>
    <w:rsid w:val="00114459"/>
    <w:rsid w:val="00116006"/>
    <w:rsid w:val="00116C93"/>
    <w:rsid w:val="0012399B"/>
    <w:rsid w:val="00126938"/>
    <w:rsid w:val="00127892"/>
    <w:rsid w:val="001324D5"/>
    <w:rsid w:val="00144E5A"/>
    <w:rsid w:val="001533C7"/>
    <w:rsid w:val="001533DC"/>
    <w:rsid w:val="00157F8B"/>
    <w:rsid w:val="0016301A"/>
    <w:rsid w:val="00175709"/>
    <w:rsid w:val="00197435"/>
    <w:rsid w:val="001A1D07"/>
    <w:rsid w:val="001A3E0F"/>
    <w:rsid w:val="001A503E"/>
    <w:rsid w:val="001A50D6"/>
    <w:rsid w:val="001A7237"/>
    <w:rsid w:val="001D0234"/>
    <w:rsid w:val="001F63AA"/>
    <w:rsid w:val="001F668D"/>
    <w:rsid w:val="00200400"/>
    <w:rsid w:val="00212F66"/>
    <w:rsid w:val="00213464"/>
    <w:rsid w:val="00216973"/>
    <w:rsid w:val="002171F6"/>
    <w:rsid w:val="002222F6"/>
    <w:rsid w:val="00236626"/>
    <w:rsid w:val="0024188A"/>
    <w:rsid w:val="00245DC3"/>
    <w:rsid w:val="00247670"/>
    <w:rsid w:val="00253DD5"/>
    <w:rsid w:val="00254744"/>
    <w:rsid w:val="00263DA4"/>
    <w:rsid w:val="00265ECF"/>
    <w:rsid w:val="00275FFE"/>
    <w:rsid w:val="00282D8E"/>
    <w:rsid w:val="00291ECD"/>
    <w:rsid w:val="002B20E2"/>
    <w:rsid w:val="002B7A43"/>
    <w:rsid w:val="002C672C"/>
    <w:rsid w:val="002D30A6"/>
    <w:rsid w:val="002D66EF"/>
    <w:rsid w:val="002E0CF7"/>
    <w:rsid w:val="002E1532"/>
    <w:rsid w:val="002E1669"/>
    <w:rsid w:val="00300770"/>
    <w:rsid w:val="00301F67"/>
    <w:rsid w:val="00304225"/>
    <w:rsid w:val="003068D2"/>
    <w:rsid w:val="00312170"/>
    <w:rsid w:val="0031239E"/>
    <w:rsid w:val="00312D49"/>
    <w:rsid w:val="00322631"/>
    <w:rsid w:val="00322C39"/>
    <w:rsid w:val="00325D76"/>
    <w:rsid w:val="00332BC9"/>
    <w:rsid w:val="003408FB"/>
    <w:rsid w:val="003461BD"/>
    <w:rsid w:val="0035087A"/>
    <w:rsid w:val="003747F1"/>
    <w:rsid w:val="00391BD8"/>
    <w:rsid w:val="00391D3F"/>
    <w:rsid w:val="003A62BF"/>
    <w:rsid w:val="003B0352"/>
    <w:rsid w:val="003B720F"/>
    <w:rsid w:val="003D4BA4"/>
    <w:rsid w:val="003D514B"/>
    <w:rsid w:val="003E3FDD"/>
    <w:rsid w:val="003F07EE"/>
    <w:rsid w:val="003F6A5F"/>
    <w:rsid w:val="00402E63"/>
    <w:rsid w:val="004041F5"/>
    <w:rsid w:val="00405588"/>
    <w:rsid w:val="004167BB"/>
    <w:rsid w:val="00417326"/>
    <w:rsid w:val="00420736"/>
    <w:rsid w:val="0043788D"/>
    <w:rsid w:val="00440059"/>
    <w:rsid w:val="0044051F"/>
    <w:rsid w:val="004405AB"/>
    <w:rsid w:val="0044264D"/>
    <w:rsid w:val="00442D9F"/>
    <w:rsid w:val="00443AF2"/>
    <w:rsid w:val="00444814"/>
    <w:rsid w:val="00445E8D"/>
    <w:rsid w:val="00450FC6"/>
    <w:rsid w:val="0045113F"/>
    <w:rsid w:val="00451EEA"/>
    <w:rsid w:val="00456315"/>
    <w:rsid w:val="00460D0D"/>
    <w:rsid w:val="00461433"/>
    <w:rsid w:val="004642E7"/>
    <w:rsid w:val="00471002"/>
    <w:rsid w:val="00472289"/>
    <w:rsid w:val="00473630"/>
    <w:rsid w:val="004821B7"/>
    <w:rsid w:val="00483C7A"/>
    <w:rsid w:val="00484A42"/>
    <w:rsid w:val="00485811"/>
    <w:rsid w:val="004875F7"/>
    <w:rsid w:val="00490739"/>
    <w:rsid w:val="0049135C"/>
    <w:rsid w:val="00491484"/>
    <w:rsid w:val="004919DD"/>
    <w:rsid w:val="0049213B"/>
    <w:rsid w:val="0049218A"/>
    <w:rsid w:val="0049549E"/>
    <w:rsid w:val="00497D65"/>
    <w:rsid w:val="004A19D1"/>
    <w:rsid w:val="004B6438"/>
    <w:rsid w:val="004C70BD"/>
    <w:rsid w:val="004D0D54"/>
    <w:rsid w:val="004D52D6"/>
    <w:rsid w:val="004D5525"/>
    <w:rsid w:val="004D562D"/>
    <w:rsid w:val="004D5CB3"/>
    <w:rsid w:val="004D5CBF"/>
    <w:rsid w:val="004D7ABD"/>
    <w:rsid w:val="004E3F72"/>
    <w:rsid w:val="004E6C61"/>
    <w:rsid w:val="004F17AF"/>
    <w:rsid w:val="00517884"/>
    <w:rsid w:val="00526D94"/>
    <w:rsid w:val="0053071C"/>
    <w:rsid w:val="00540EB3"/>
    <w:rsid w:val="00545404"/>
    <w:rsid w:val="005455CA"/>
    <w:rsid w:val="00553823"/>
    <w:rsid w:val="00563184"/>
    <w:rsid w:val="00567F60"/>
    <w:rsid w:val="00583951"/>
    <w:rsid w:val="00584F59"/>
    <w:rsid w:val="00587698"/>
    <w:rsid w:val="00594D45"/>
    <w:rsid w:val="00596736"/>
    <w:rsid w:val="005A6770"/>
    <w:rsid w:val="005A755B"/>
    <w:rsid w:val="005C335F"/>
    <w:rsid w:val="005C6FBE"/>
    <w:rsid w:val="005E26E5"/>
    <w:rsid w:val="005F14E1"/>
    <w:rsid w:val="005F1BEA"/>
    <w:rsid w:val="005F493D"/>
    <w:rsid w:val="00603956"/>
    <w:rsid w:val="00610E6C"/>
    <w:rsid w:val="006121D4"/>
    <w:rsid w:val="00617672"/>
    <w:rsid w:val="006176B8"/>
    <w:rsid w:val="00624DFE"/>
    <w:rsid w:val="00632644"/>
    <w:rsid w:val="00634936"/>
    <w:rsid w:val="0064474F"/>
    <w:rsid w:val="00655A1E"/>
    <w:rsid w:val="006603AC"/>
    <w:rsid w:val="00672C34"/>
    <w:rsid w:val="0068026F"/>
    <w:rsid w:val="00680E9C"/>
    <w:rsid w:val="00684004"/>
    <w:rsid w:val="006850DD"/>
    <w:rsid w:val="006B365C"/>
    <w:rsid w:val="006B75AC"/>
    <w:rsid w:val="006B77FA"/>
    <w:rsid w:val="006C2FDF"/>
    <w:rsid w:val="006C3678"/>
    <w:rsid w:val="006D60A3"/>
    <w:rsid w:val="006E201D"/>
    <w:rsid w:val="006E2AC2"/>
    <w:rsid w:val="006E4065"/>
    <w:rsid w:val="006E6EF5"/>
    <w:rsid w:val="006F5A3D"/>
    <w:rsid w:val="006F7494"/>
    <w:rsid w:val="00705A25"/>
    <w:rsid w:val="007111CC"/>
    <w:rsid w:val="0071337F"/>
    <w:rsid w:val="007135C5"/>
    <w:rsid w:val="007145F8"/>
    <w:rsid w:val="00714C4E"/>
    <w:rsid w:val="007237EA"/>
    <w:rsid w:val="00733EDF"/>
    <w:rsid w:val="00735B0D"/>
    <w:rsid w:val="00736022"/>
    <w:rsid w:val="007433AC"/>
    <w:rsid w:val="00753E57"/>
    <w:rsid w:val="00757965"/>
    <w:rsid w:val="00770468"/>
    <w:rsid w:val="00776FE3"/>
    <w:rsid w:val="00777916"/>
    <w:rsid w:val="0079301A"/>
    <w:rsid w:val="00796514"/>
    <w:rsid w:val="00796F41"/>
    <w:rsid w:val="00797AB7"/>
    <w:rsid w:val="007B682B"/>
    <w:rsid w:val="007B6DAF"/>
    <w:rsid w:val="007C11CB"/>
    <w:rsid w:val="007D2680"/>
    <w:rsid w:val="007D3363"/>
    <w:rsid w:val="007D5A05"/>
    <w:rsid w:val="007E1912"/>
    <w:rsid w:val="007E1F3B"/>
    <w:rsid w:val="007E2586"/>
    <w:rsid w:val="007E629F"/>
    <w:rsid w:val="007E79D7"/>
    <w:rsid w:val="007F4E31"/>
    <w:rsid w:val="007F6C2C"/>
    <w:rsid w:val="008002F6"/>
    <w:rsid w:val="00801062"/>
    <w:rsid w:val="008020E7"/>
    <w:rsid w:val="00803E96"/>
    <w:rsid w:val="00822041"/>
    <w:rsid w:val="00822759"/>
    <w:rsid w:val="008327BE"/>
    <w:rsid w:val="008552D6"/>
    <w:rsid w:val="008610FE"/>
    <w:rsid w:val="008663EB"/>
    <w:rsid w:val="008703FF"/>
    <w:rsid w:val="00872CB5"/>
    <w:rsid w:val="008947F5"/>
    <w:rsid w:val="008A6C7F"/>
    <w:rsid w:val="008A7B7E"/>
    <w:rsid w:val="008B3B5E"/>
    <w:rsid w:val="008C27CE"/>
    <w:rsid w:val="008C4763"/>
    <w:rsid w:val="008D00D2"/>
    <w:rsid w:val="008D5FB8"/>
    <w:rsid w:val="008F11C8"/>
    <w:rsid w:val="00924D28"/>
    <w:rsid w:val="00930098"/>
    <w:rsid w:val="00935401"/>
    <w:rsid w:val="00936B4D"/>
    <w:rsid w:val="00941445"/>
    <w:rsid w:val="00944092"/>
    <w:rsid w:val="0094638F"/>
    <w:rsid w:val="00946F37"/>
    <w:rsid w:val="00955B70"/>
    <w:rsid w:val="009615E6"/>
    <w:rsid w:val="009643C6"/>
    <w:rsid w:val="00971D6F"/>
    <w:rsid w:val="00972DD8"/>
    <w:rsid w:val="009809FC"/>
    <w:rsid w:val="00982AA4"/>
    <w:rsid w:val="00984FFB"/>
    <w:rsid w:val="00985E6B"/>
    <w:rsid w:val="00986C25"/>
    <w:rsid w:val="00991024"/>
    <w:rsid w:val="009A1C72"/>
    <w:rsid w:val="009A1DFB"/>
    <w:rsid w:val="009A389D"/>
    <w:rsid w:val="009A3BFF"/>
    <w:rsid w:val="009A647E"/>
    <w:rsid w:val="009B371B"/>
    <w:rsid w:val="009B7CBC"/>
    <w:rsid w:val="009C44C5"/>
    <w:rsid w:val="009E0CAE"/>
    <w:rsid w:val="009E42F7"/>
    <w:rsid w:val="00A00F54"/>
    <w:rsid w:val="00A047C6"/>
    <w:rsid w:val="00A06C04"/>
    <w:rsid w:val="00A108BA"/>
    <w:rsid w:val="00A14CE0"/>
    <w:rsid w:val="00A17E2A"/>
    <w:rsid w:val="00A37F61"/>
    <w:rsid w:val="00A40F01"/>
    <w:rsid w:val="00A42754"/>
    <w:rsid w:val="00A553F8"/>
    <w:rsid w:val="00A65462"/>
    <w:rsid w:val="00A700EF"/>
    <w:rsid w:val="00A72492"/>
    <w:rsid w:val="00A74C39"/>
    <w:rsid w:val="00A76391"/>
    <w:rsid w:val="00A7772E"/>
    <w:rsid w:val="00A94175"/>
    <w:rsid w:val="00AA014E"/>
    <w:rsid w:val="00AA64E5"/>
    <w:rsid w:val="00AE0B11"/>
    <w:rsid w:val="00AE3EC3"/>
    <w:rsid w:val="00AF08E9"/>
    <w:rsid w:val="00AF0F8E"/>
    <w:rsid w:val="00B07EF4"/>
    <w:rsid w:val="00B305F0"/>
    <w:rsid w:val="00B324DC"/>
    <w:rsid w:val="00B40E79"/>
    <w:rsid w:val="00B46108"/>
    <w:rsid w:val="00B4610A"/>
    <w:rsid w:val="00B51B74"/>
    <w:rsid w:val="00B635A4"/>
    <w:rsid w:val="00B649F9"/>
    <w:rsid w:val="00B66203"/>
    <w:rsid w:val="00B81B08"/>
    <w:rsid w:val="00B842A4"/>
    <w:rsid w:val="00B85EBA"/>
    <w:rsid w:val="00B86D74"/>
    <w:rsid w:val="00BB07D7"/>
    <w:rsid w:val="00BB0B64"/>
    <w:rsid w:val="00BB1851"/>
    <w:rsid w:val="00BB60A5"/>
    <w:rsid w:val="00BC0336"/>
    <w:rsid w:val="00BC660B"/>
    <w:rsid w:val="00BC7AB6"/>
    <w:rsid w:val="00BD27F8"/>
    <w:rsid w:val="00BD7ADC"/>
    <w:rsid w:val="00BE1761"/>
    <w:rsid w:val="00BE3893"/>
    <w:rsid w:val="00BE3F28"/>
    <w:rsid w:val="00BE3F2B"/>
    <w:rsid w:val="00BF36B3"/>
    <w:rsid w:val="00C049FB"/>
    <w:rsid w:val="00C10469"/>
    <w:rsid w:val="00C12AB9"/>
    <w:rsid w:val="00C21A63"/>
    <w:rsid w:val="00C2652A"/>
    <w:rsid w:val="00C265DE"/>
    <w:rsid w:val="00C31A5D"/>
    <w:rsid w:val="00C33661"/>
    <w:rsid w:val="00C43985"/>
    <w:rsid w:val="00C5279E"/>
    <w:rsid w:val="00C534E1"/>
    <w:rsid w:val="00C53812"/>
    <w:rsid w:val="00C718CD"/>
    <w:rsid w:val="00C744C9"/>
    <w:rsid w:val="00C75102"/>
    <w:rsid w:val="00C83D13"/>
    <w:rsid w:val="00C94E2D"/>
    <w:rsid w:val="00C95BCB"/>
    <w:rsid w:val="00C974D4"/>
    <w:rsid w:val="00CB2555"/>
    <w:rsid w:val="00CB5E57"/>
    <w:rsid w:val="00CC75F9"/>
    <w:rsid w:val="00CC7750"/>
    <w:rsid w:val="00CE0F85"/>
    <w:rsid w:val="00CE577D"/>
    <w:rsid w:val="00CF2721"/>
    <w:rsid w:val="00CF5DEB"/>
    <w:rsid w:val="00D23836"/>
    <w:rsid w:val="00D26A8F"/>
    <w:rsid w:val="00D325D0"/>
    <w:rsid w:val="00D405FC"/>
    <w:rsid w:val="00D43896"/>
    <w:rsid w:val="00D54B4A"/>
    <w:rsid w:val="00D65B96"/>
    <w:rsid w:val="00D7724D"/>
    <w:rsid w:val="00D77EAE"/>
    <w:rsid w:val="00D936AC"/>
    <w:rsid w:val="00D943DC"/>
    <w:rsid w:val="00D952E7"/>
    <w:rsid w:val="00DA39C5"/>
    <w:rsid w:val="00DA708A"/>
    <w:rsid w:val="00DB1167"/>
    <w:rsid w:val="00DB5E0F"/>
    <w:rsid w:val="00DC23FC"/>
    <w:rsid w:val="00DC27B0"/>
    <w:rsid w:val="00DC513A"/>
    <w:rsid w:val="00DC637B"/>
    <w:rsid w:val="00DC6EA0"/>
    <w:rsid w:val="00DF2577"/>
    <w:rsid w:val="00E075CE"/>
    <w:rsid w:val="00E21BD0"/>
    <w:rsid w:val="00E42527"/>
    <w:rsid w:val="00E54306"/>
    <w:rsid w:val="00E60808"/>
    <w:rsid w:val="00E67F80"/>
    <w:rsid w:val="00E765CD"/>
    <w:rsid w:val="00E7721C"/>
    <w:rsid w:val="00E77426"/>
    <w:rsid w:val="00E838BE"/>
    <w:rsid w:val="00E97680"/>
    <w:rsid w:val="00EB3216"/>
    <w:rsid w:val="00EB6539"/>
    <w:rsid w:val="00EB6697"/>
    <w:rsid w:val="00EE1262"/>
    <w:rsid w:val="00EE385A"/>
    <w:rsid w:val="00F07317"/>
    <w:rsid w:val="00F106B7"/>
    <w:rsid w:val="00F122C0"/>
    <w:rsid w:val="00F134C8"/>
    <w:rsid w:val="00F21976"/>
    <w:rsid w:val="00F304F2"/>
    <w:rsid w:val="00F441F1"/>
    <w:rsid w:val="00F454DA"/>
    <w:rsid w:val="00F45600"/>
    <w:rsid w:val="00F52DDA"/>
    <w:rsid w:val="00F604BA"/>
    <w:rsid w:val="00F72FD4"/>
    <w:rsid w:val="00F7357D"/>
    <w:rsid w:val="00F75BEE"/>
    <w:rsid w:val="00F83B09"/>
    <w:rsid w:val="00FA2822"/>
    <w:rsid w:val="00FA59F5"/>
    <w:rsid w:val="00FA791F"/>
    <w:rsid w:val="00FB53E2"/>
    <w:rsid w:val="00FD5BEE"/>
    <w:rsid w:val="00FD6AEE"/>
    <w:rsid w:val="00FE452F"/>
    <w:rsid w:val="00FE50E9"/>
    <w:rsid w:val="00FF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2BD1"/>
  <w15:docId w15:val="{7129EFBE-CA83-4016-B7D9-995A901E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fficio.stampa@gimbe.org" TargetMode="External"/><Relationship Id="rId18" Type="http://schemas.openxmlformats.org/officeDocument/2006/relationships/header" Target="header2.xm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coronavirus.gimbe.or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712B6-BEEC-4B00-BFC4-4FAEF1C39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1993</Words>
  <Characters>11363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6</cp:revision>
  <dcterms:created xsi:type="dcterms:W3CDTF">2021-09-02T06:39:00Z</dcterms:created>
  <dcterms:modified xsi:type="dcterms:W3CDTF">2021-09-02T08:10:00Z</dcterms:modified>
</cp:coreProperties>
</file>